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9AFC1" w14:textId="7C729AB3" w:rsidR="00422ADB" w:rsidRPr="00357CDE" w:rsidRDefault="00422ADB" w:rsidP="00422ADB">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#118</w:t>
      </w:r>
      <w:r w:rsidRPr="007D3E81">
        <w:rPr>
          <w:rFonts w:cs="Arial"/>
          <w:b/>
          <w:sz w:val="24"/>
          <w:szCs w:val="24"/>
        </w:rPr>
        <w:tab/>
      </w:r>
      <w:r w:rsidR="00842ABD" w:rsidRPr="00842ABD">
        <w:rPr>
          <w:rFonts w:cs="Arial"/>
          <w:b/>
          <w:sz w:val="24"/>
          <w:szCs w:val="24"/>
        </w:rPr>
        <w:t>R3-226731</w:t>
      </w:r>
    </w:p>
    <w:p w14:paraId="3188471F" w14:textId="77777777" w:rsidR="00422ADB" w:rsidRDefault="00422ADB" w:rsidP="00422ADB">
      <w:pPr>
        <w:widowControl w:val="0"/>
        <w:spacing w:after="0"/>
        <w:jc w:val="both"/>
        <w:rPr>
          <w:rFonts w:ascii="Arial" w:eastAsia="MS Mincho" w:hAnsi="Arial" w:cs="Arial"/>
          <w:b/>
          <w:sz w:val="24"/>
          <w:szCs w:val="24"/>
        </w:rPr>
      </w:pPr>
      <w:r w:rsidRPr="00346982">
        <w:rPr>
          <w:rFonts w:ascii="Arial" w:eastAsia="MS Mincho" w:hAnsi="Arial" w:cs="Arial"/>
          <w:b/>
          <w:sz w:val="24"/>
          <w:szCs w:val="24"/>
        </w:rPr>
        <w:t>Toulouse, France, 14th - 18th November 2022</w:t>
      </w:r>
    </w:p>
    <w:p w14:paraId="05FE47DF" w14:textId="77777777" w:rsidR="00CD4C7B" w:rsidRPr="00422ADB" w:rsidRDefault="00CD4C7B" w:rsidP="00CD4C7B">
      <w:pPr>
        <w:pStyle w:val="a3"/>
        <w:rPr>
          <w:bCs/>
          <w:noProof w:val="0"/>
          <w:sz w:val="24"/>
        </w:rPr>
      </w:pPr>
    </w:p>
    <w:p w14:paraId="0717E73E" w14:textId="77777777" w:rsidR="00CD4C7B" w:rsidRPr="00B1063A" w:rsidRDefault="00CD4C7B" w:rsidP="00CD4C7B">
      <w:pPr>
        <w:pStyle w:val="a3"/>
        <w:rPr>
          <w:bCs/>
          <w:noProof w:val="0"/>
          <w:sz w:val="24"/>
          <w:lang w:val="en-US"/>
        </w:rPr>
      </w:pPr>
    </w:p>
    <w:p w14:paraId="3B0EF5F6" w14:textId="760ACE4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DE532C">
        <w:rPr>
          <w:rFonts w:cs="Arial"/>
          <w:b/>
          <w:bCs/>
          <w:sz w:val="24"/>
          <w:lang w:val="en-US" w:eastAsia="ja-JP"/>
        </w:rPr>
        <w:t>3</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1588F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Discussion on</w:t>
      </w:r>
      <w:r w:rsidR="001B7EB4">
        <w:rPr>
          <w:rFonts w:ascii="Arial" w:hAnsi="Arial" w:cs="Arial"/>
          <w:b/>
          <w:bCs/>
          <w:sz w:val="24"/>
        </w:rPr>
        <w:t xml:space="preserve"> </w:t>
      </w:r>
      <w:r w:rsidR="00DE532C">
        <w:rPr>
          <w:rFonts w:ascii="Arial" w:hAnsi="Arial" w:cs="Arial"/>
          <w:b/>
          <w:bCs/>
          <w:sz w:val="24"/>
        </w:rPr>
        <w:t>mobility</w:t>
      </w:r>
      <w:r w:rsidR="001B7EB4">
        <w:rPr>
          <w:rFonts w:ascii="Arial" w:hAnsi="Arial" w:cs="Arial"/>
          <w:b/>
          <w:bCs/>
          <w:sz w:val="24"/>
        </w:rPr>
        <w:t xml:space="preserve"> enhancement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1350E9C0" w14:textId="1378D270" w:rsidR="00B6745D" w:rsidRDefault="00E6028F" w:rsidP="00CD4C7B">
      <w:r>
        <w:t>In this contribution, we’d like to discuss the mobility enhancement based on the last RAN3 agreements as below</w:t>
      </w:r>
    </w:p>
    <w:p w14:paraId="019076BA" w14:textId="77777777" w:rsidR="007D321F" w:rsidRPr="000F39B0"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After baseline procedures have been established, RAN3 to discuss the benefit and whether to support </w:t>
      </w:r>
      <w:proofErr w:type="spellStart"/>
      <w:r w:rsidRPr="000F39B0">
        <w:rPr>
          <w:rFonts w:ascii="Calibri" w:hAnsi="Calibri" w:cs="Calibri"/>
          <w:i/>
          <w:iCs/>
          <w:color w:val="00B050"/>
          <w:kern w:val="2"/>
          <w:sz w:val="16"/>
          <w:szCs w:val="16"/>
        </w:rPr>
        <w:t>signaling</w:t>
      </w:r>
      <w:proofErr w:type="spellEnd"/>
      <w:r w:rsidRPr="000F39B0">
        <w:rPr>
          <w:rFonts w:ascii="Calibri" w:hAnsi="Calibri" w:cs="Calibri"/>
          <w:i/>
          <w:iCs/>
          <w:color w:val="00B050"/>
          <w:kern w:val="2"/>
          <w:sz w:val="16"/>
          <w:szCs w:val="16"/>
        </w:rPr>
        <w:t xml:space="preserve"> of information related to multiple UE contexts in a single message for UE handover preparation, path switch, and context release procedures.</w:t>
      </w:r>
    </w:p>
    <w:p w14:paraId="1E277B3D" w14:textId="77777777" w:rsidR="007D321F" w:rsidRPr="000F39B0"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As the baseline, F1 establishment and configuration of the new logical DU follows legacy procedures. </w:t>
      </w:r>
    </w:p>
    <w:p w14:paraId="6BAF9971" w14:textId="77777777" w:rsidR="007D321F" w:rsidRPr="000F39B0"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RAN3 to discuss whether and which information can be shared between two logical DUs in case of IAB-DU migration.</w:t>
      </w:r>
    </w:p>
    <w:p w14:paraId="4A9E77ED" w14:textId="77777777" w:rsidR="007D321F" w:rsidRPr="000F39B0"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RAN3 to discuss which of the OAM-configured and network-configured parameters may be pre-configured at a mobile IAB-node, after a baseline procedure for IAB-DU migration is developed.</w:t>
      </w:r>
    </w:p>
    <w:p w14:paraId="3C6BA8AC" w14:textId="77777777" w:rsidR="007D321F" w:rsidRPr="000F39B0"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Source donor CU of mobile IAB-MT informs the target donor CU of mobile IAB-MT that the migrating node is a mobile IAB-node, via explicit indication in </w:t>
      </w:r>
      <w:proofErr w:type="spellStart"/>
      <w:r w:rsidRPr="000F39B0">
        <w:rPr>
          <w:rFonts w:ascii="Calibri" w:hAnsi="Calibri" w:cs="Calibri"/>
          <w:i/>
          <w:iCs/>
          <w:color w:val="00B050"/>
          <w:kern w:val="2"/>
          <w:sz w:val="16"/>
          <w:szCs w:val="16"/>
        </w:rPr>
        <w:t>XnAP</w:t>
      </w:r>
      <w:proofErr w:type="spellEnd"/>
      <w:r w:rsidRPr="000F39B0">
        <w:rPr>
          <w:rFonts w:ascii="Calibri" w:hAnsi="Calibri" w:cs="Calibri"/>
          <w:i/>
          <w:iCs/>
          <w:color w:val="00B050"/>
          <w:kern w:val="2"/>
          <w:sz w:val="16"/>
          <w:szCs w:val="16"/>
        </w:rPr>
        <w:t xml:space="preserve"> HO Request message.</w:t>
      </w:r>
    </w:p>
    <w:p w14:paraId="0932A5B4" w14:textId="77777777" w:rsidR="007D321F" w:rsidRPr="000F39B0"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RAN3 to discuss whether source donor should know whether the target cell belongs to a </w:t>
      </w:r>
      <w:proofErr w:type="spellStart"/>
      <w:r w:rsidRPr="000F39B0">
        <w:rPr>
          <w:rFonts w:ascii="Calibri" w:hAnsi="Calibri" w:cs="Calibri"/>
          <w:i/>
          <w:iCs/>
          <w:color w:val="00B050"/>
          <w:kern w:val="2"/>
          <w:sz w:val="16"/>
          <w:szCs w:val="16"/>
        </w:rPr>
        <w:t>mIAB</w:t>
      </w:r>
      <w:proofErr w:type="spellEnd"/>
      <w:r w:rsidRPr="000F39B0">
        <w:rPr>
          <w:rFonts w:ascii="Calibri" w:hAnsi="Calibri" w:cs="Calibri"/>
          <w:i/>
          <w:iCs/>
          <w:color w:val="00B050"/>
          <w:kern w:val="2"/>
          <w:sz w:val="16"/>
          <w:szCs w:val="16"/>
        </w:rPr>
        <w:t>-Node.</w:t>
      </w:r>
    </w:p>
    <w:p w14:paraId="770BAE59" w14:textId="77777777" w:rsidR="007D321F" w:rsidRPr="000F39B0"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The NCGI of the mobile IAB-DU cell is changed when the F1-terminating donor CU of the mobile IAB-DU is changed.</w:t>
      </w:r>
    </w:p>
    <w:p w14:paraId="162C82DF" w14:textId="77777777" w:rsidR="007D321F" w:rsidRPr="000F39B0"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RAN3 to further discuss the following options for TAC/RANAC issue:</w:t>
      </w:r>
    </w:p>
    <w:p w14:paraId="44A56646" w14:textId="77777777" w:rsidR="007D321F" w:rsidRPr="000F39B0"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w:t>
      </w:r>
      <w:r w:rsidRPr="000F39B0">
        <w:rPr>
          <w:rFonts w:ascii="Calibri" w:hAnsi="Calibri" w:cs="Calibri"/>
          <w:i/>
          <w:iCs/>
          <w:color w:val="00B050"/>
          <w:kern w:val="2"/>
          <w:sz w:val="16"/>
          <w:szCs w:val="16"/>
        </w:rPr>
        <w:tab/>
        <w:t xml:space="preserve">Option 1: The TAC/RANAC for the mobile IAB cell can be changed in order to reflect the physical location when the mobile IAB-node moves. </w:t>
      </w:r>
    </w:p>
    <w:p w14:paraId="18516D4A" w14:textId="2481CD7F" w:rsidR="007D321F" w:rsidRDefault="007D321F" w:rsidP="007D321F">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w:t>
      </w:r>
      <w:r w:rsidRPr="000F39B0">
        <w:rPr>
          <w:rFonts w:ascii="Calibri" w:hAnsi="Calibri" w:cs="Calibri"/>
          <w:i/>
          <w:iCs/>
          <w:color w:val="00B050"/>
          <w:kern w:val="2"/>
          <w:sz w:val="16"/>
          <w:szCs w:val="16"/>
        </w:rPr>
        <w:tab/>
        <w:t>Option 2: Using static TAC/RANAC for mobile IAB when it moves. Involvement of SA2 may be needed</w:t>
      </w:r>
    </w:p>
    <w:p w14:paraId="22B54925" w14:textId="6F0138C0" w:rsidR="005F6DE2" w:rsidRDefault="005F6DE2" w:rsidP="007D321F">
      <w:pPr>
        <w:widowControl w:val="0"/>
        <w:ind w:left="144" w:hanging="144"/>
      </w:pPr>
      <w:r>
        <w:t>The following aspects are discussed in this contribution:</w:t>
      </w:r>
    </w:p>
    <w:p w14:paraId="3A14CB75" w14:textId="48DA2524" w:rsidR="005F6DE2" w:rsidRPr="00426394" w:rsidRDefault="005F6DE2" w:rsidP="00426394">
      <w:pPr>
        <w:pStyle w:val="Agreement"/>
        <w:numPr>
          <w:ilvl w:val="0"/>
          <w:numId w:val="0"/>
        </w:numPr>
        <w:tabs>
          <w:tab w:val="left" w:pos="720"/>
        </w:tabs>
        <w:spacing w:line="360" w:lineRule="auto"/>
        <w:rPr>
          <w:rFonts w:ascii="Times New Roman" w:hAnsi="Times New Roman"/>
          <w:b w:val="0"/>
        </w:rPr>
      </w:pPr>
      <w:r>
        <w:rPr>
          <w:rFonts w:ascii="Times New Roman" w:hAnsi="Times New Roman"/>
          <w:b w:val="0"/>
          <w:u w:val="single"/>
        </w:rPr>
        <w:t>Configuration optimizations</w:t>
      </w:r>
    </w:p>
    <w:p w14:paraId="4ACE1102" w14:textId="77777777" w:rsidR="005F6DE2" w:rsidRDefault="005F6DE2" w:rsidP="00426394">
      <w:pPr>
        <w:pStyle w:val="Doc-text2"/>
        <w:spacing w:line="360" w:lineRule="auto"/>
        <w:ind w:left="363"/>
        <w:rPr>
          <w:rFonts w:ascii="Times New Roman" w:hAnsi="Times New Roman"/>
          <w:u w:val="single"/>
        </w:rPr>
      </w:pPr>
      <w:r>
        <w:rPr>
          <w:rFonts w:ascii="Times New Roman" w:hAnsi="Times New Roman"/>
          <w:u w:val="single"/>
        </w:rPr>
        <w:t>UE handover to target mobile IAB-node:</w:t>
      </w:r>
    </w:p>
    <w:p w14:paraId="72500C9F" w14:textId="0401367D" w:rsidR="00A757D7" w:rsidRPr="00426394" w:rsidRDefault="00A757D7" w:rsidP="00426394">
      <w:pPr>
        <w:pStyle w:val="Doc-text2"/>
        <w:spacing w:line="360" w:lineRule="auto"/>
        <w:ind w:left="363"/>
        <w:rPr>
          <w:rFonts w:ascii="Times New Roman" w:hAnsi="Times New Roman"/>
          <w:u w:val="single"/>
        </w:rPr>
      </w:pPr>
      <w:r w:rsidRPr="00426394">
        <w:rPr>
          <w:rFonts w:ascii="Times New Roman" w:hAnsi="Times New Roman"/>
          <w:u w:val="single"/>
        </w:rPr>
        <w:t>TAC/RANC broadcast by IAB-node</w:t>
      </w:r>
    </w:p>
    <w:p w14:paraId="479DA40B" w14:textId="607B16B8" w:rsidR="00CD4C7B" w:rsidRPr="006E13D1" w:rsidRDefault="00CD4C7B" w:rsidP="005F6DE2">
      <w:pPr>
        <w:pStyle w:val="1"/>
      </w:pPr>
      <w:r w:rsidRPr="006E13D1">
        <w:t>2</w:t>
      </w:r>
      <w:r w:rsidRPr="006E13D1">
        <w:tab/>
      </w:r>
      <w:r w:rsidR="00972FD7">
        <w:t>Discussion</w:t>
      </w:r>
    </w:p>
    <w:p w14:paraId="48F07AF8" w14:textId="071019BE" w:rsidR="00971F47" w:rsidRPr="00971F47" w:rsidRDefault="00971F47" w:rsidP="00971F47">
      <w:pPr>
        <w:pStyle w:val="2"/>
      </w:pPr>
      <w:bookmarkStart w:id="0" w:name="_Hlk109747344"/>
      <w:r w:rsidRPr="00971F47">
        <w:t xml:space="preserve">2.1 </w:t>
      </w:r>
      <w:r w:rsidR="005F6DE2" w:rsidRPr="005F6DE2">
        <w:t>Configuration optimizations</w:t>
      </w:r>
    </w:p>
    <w:p w14:paraId="56CD6DA1" w14:textId="7BE60885" w:rsidR="007D321F" w:rsidRDefault="005F6DE2" w:rsidP="007D321F">
      <w:pPr>
        <w:pStyle w:val="Agreement"/>
        <w:numPr>
          <w:ilvl w:val="0"/>
          <w:numId w:val="0"/>
        </w:numPr>
        <w:tabs>
          <w:tab w:val="left" w:pos="720"/>
        </w:tabs>
        <w:rPr>
          <w:rFonts w:ascii="Times New Roman" w:hAnsi="Times New Roman"/>
          <w:b w:val="0"/>
        </w:rPr>
      </w:pPr>
      <w:r>
        <w:rPr>
          <w:rFonts w:ascii="Times New Roman" w:hAnsi="Times New Roman"/>
          <w:b w:val="0"/>
          <w:u w:val="single"/>
        </w:rPr>
        <w:t>For the c</w:t>
      </w:r>
      <w:r w:rsidR="007D321F">
        <w:rPr>
          <w:rFonts w:ascii="Times New Roman" w:hAnsi="Times New Roman"/>
          <w:b w:val="0"/>
          <w:u w:val="single"/>
        </w:rPr>
        <w:t>onfiguration optimizations</w:t>
      </w:r>
      <w:r w:rsidR="007D321F">
        <w:rPr>
          <w:rFonts w:ascii="Times New Roman" w:hAnsi="Times New Roman"/>
          <w:b w:val="0"/>
        </w:rPr>
        <w:t>: Open issues:</w:t>
      </w:r>
    </w:p>
    <w:p w14:paraId="21F38B2A" w14:textId="2D640B52" w:rsidR="007D321F" w:rsidRDefault="007D321F" w:rsidP="00842ABD">
      <w:pPr>
        <w:pStyle w:val="Agreement"/>
        <w:numPr>
          <w:ilvl w:val="0"/>
          <w:numId w:val="22"/>
        </w:numPr>
        <w:tabs>
          <w:tab w:val="left" w:pos="720"/>
        </w:tabs>
        <w:rPr>
          <w:rFonts w:ascii="Times New Roman" w:hAnsi="Times New Roman"/>
          <w:b w:val="0"/>
        </w:rPr>
      </w:pPr>
      <w:r>
        <w:rPr>
          <w:rFonts w:ascii="Times New Roman" w:hAnsi="Times New Roman"/>
          <w:b w:val="0"/>
        </w:rPr>
        <w:t>Discuss whether and which information can be shared between the logical DUs? How does the target DU’s donor know about the target DU’s configuration copied from the source DU?</w:t>
      </w:r>
    </w:p>
    <w:p w14:paraId="72131956" w14:textId="77777777" w:rsidR="00842ABD" w:rsidRPr="00842ABD" w:rsidRDefault="00842ABD" w:rsidP="00842ABD">
      <w:pPr>
        <w:pStyle w:val="Doc-text2"/>
      </w:pPr>
    </w:p>
    <w:p w14:paraId="29D394CF" w14:textId="5391DC03" w:rsidR="00A9231A" w:rsidRDefault="00DF6BDE" w:rsidP="00DF6BDE">
      <w:pPr>
        <w:pStyle w:val="Doc-text2"/>
        <w:ind w:left="0" w:firstLine="0"/>
        <w:rPr>
          <w:rFonts w:ascii="Times New Roman" w:hAnsi="Times New Roman" w:cs="Times New Roman"/>
        </w:rPr>
      </w:pPr>
      <w:r w:rsidRPr="00DF6BDE">
        <w:rPr>
          <w:rFonts w:ascii="Times New Roman" w:hAnsi="Times New Roman" w:cs="Times New Roman"/>
        </w:rPr>
        <w:t xml:space="preserve">Regarding the information </w:t>
      </w:r>
      <w:r>
        <w:rPr>
          <w:rFonts w:ascii="Times New Roman" w:hAnsi="Times New Roman" w:cs="Times New Roman"/>
        </w:rPr>
        <w:t xml:space="preserve">can be shared between </w:t>
      </w:r>
      <w:r w:rsidR="00A9231A">
        <w:rPr>
          <w:rFonts w:ascii="Times New Roman" w:hAnsi="Times New Roman" w:cs="Times New Roman"/>
        </w:rPr>
        <w:t>the logical DUs, we think all the UE context can be shared since they are physically in the same node.  And we believe the same mechanism of intra-DU handover can be used. We can consider the procedure of intra-DU handover as baseline, the information sharing between the logical DUs is up to implementation, what we need to further discuss is when to trigger the sharing and is there any additional information should be updated between IAB-DU and IAB-donor CU, e.g. the TNL related info.</w:t>
      </w:r>
    </w:p>
    <w:p w14:paraId="1DB231F7" w14:textId="77777777" w:rsidR="00A9231A" w:rsidRDefault="00A9231A" w:rsidP="00DF6BDE">
      <w:pPr>
        <w:pStyle w:val="Doc-text2"/>
        <w:ind w:left="0" w:firstLine="0"/>
        <w:rPr>
          <w:rFonts w:ascii="Times New Roman" w:hAnsi="Times New Roman" w:cs="Times New Roman"/>
        </w:rPr>
      </w:pPr>
    </w:p>
    <w:p w14:paraId="71484D29" w14:textId="067B4AFD" w:rsidR="00A9231A" w:rsidRPr="00A9231A" w:rsidRDefault="00A9231A" w:rsidP="00A9231A">
      <w:pPr>
        <w:rPr>
          <w:b/>
          <w:szCs w:val="21"/>
        </w:rPr>
      </w:pPr>
      <w:r w:rsidRPr="00A9231A">
        <w:rPr>
          <w:b/>
          <w:szCs w:val="21"/>
        </w:rPr>
        <w:lastRenderedPageBreak/>
        <w:t>Proposal</w:t>
      </w:r>
      <w:r w:rsidR="00426394">
        <w:rPr>
          <w:b/>
          <w:szCs w:val="21"/>
        </w:rPr>
        <w:t xml:space="preserve"> 1</w:t>
      </w:r>
      <w:r w:rsidRPr="00A9231A">
        <w:rPr>
          <w:b/>
          <w:szCs w:val="21"/>
        </w:rPr>
        <w:t>, the UE context in the DU can be shared between the logical DUs since they are in the same physical node.</w:t>
      </w:r>
    </w:p>
    <w:p w14:paraId="67847A35" w14:textId="53E257A0" w:rsidR="00A9231A" w:rsidRDefault="00A9231A" w:rsidP="00A9231A">
      <w:pPr>
        <w:rPr>
          <w:b/>
          <w:szCs w:val="21"/>
        </w:rPr>
      </w:pPr>
      <w:r w:rsidRPr="00A9231A">
        <w:rPr>
          <w:b/>
          <w:szCs w:val="21"/>
        </w:rPr>
        <w:t>Proposal</w:t>
      </w:r>
      <w:r w:rsidR="00426394">
        <w:rPr>
          <w:b/>
          <w:szCs w:val="21"/>
        </w:rPr>
        <w:t xml:space="preserve"> 2</w:t>
      </w:r>
      <w:r w:rsidRPr="00A9231A">
        <w:rPr>
          <w:b/>
          <w:szCs w:val="21"/>
        </w:rPr>
        <w:t>,</w:t>
      </w:r>
      <w:r>
        <w:rPr>
          <w:b/>
          <w:szCs w:val="21"/>
        </w:rPr>
        <w:t xml:space="preserve"> as baseline, intra-</w:t>
      </w:r>
      <w:proofErr w:type="spellStart"/>
      <w:r>
        <w:rPr>
          <w:b/>
          <w:szCs w:val="21"/>
        </w:rPr>
        <w:t>gNB</w:t>
      </w:r>
      <w:proofErr w:type="spellEnd"/>
      <w:r>
        <w:rPr>
          <w:b/>
          <w:szCs w:val="21"/>
        </w:rPr>
        <w:t>-DU handover can be used for UE’s handover between two logical DUs.</w:t>
      </w:r>
    </w:p>
    <w:p w14:paraId="556685CD" w14:textId="4FF81E57" w:rsidR="00A9231A" w:rsidRDefault="00A9231A" w:rsidP="00A9231A">
      <w:pPr>
        <w:rPr>
          <w:b/>
          <w:szCs w:val="21"/>
        </w:rPr>
      </w:pPr>
      <w:r>
        <w:rPr>
          <w:b/>
          <w:szCs w:val="21"/>
        </w:rPr>
        <w:t>Observation</w:t>
      </w:r>
      <w:r w:rsidR="00426394">
        <w:rPr>
          <w:b/>
          <w:szCs w:val="21"/>
        </w:rPr>
        <w:t xml:space="preserve"> 1</w:t>
      </w:r>
      <w:r>
        <w:rPr>
          <w:b/>
          <w:szCs w:val="21"/>
        </w:rPr>
        <w:t xml:space="preserve">, </w:t>
      </w:r>
      <w:r w:rsidR="008C0CA2" w:rsidRPr="008C0CA2">
        <w:rPr>
          <w:b/>
          <w:szCs w:val="21"/>
        </w:rPr>
        <w:t>information sharing between the logical DUs is up to implementation</w:t>
      </w:r>
      <w:r w:rsidR="008C0CA2">
        <w:rPr>
          <w:b/>
          <w:szCs w:val="21"/>
        </w:rPr>
        <w:t>.</w:t>
      </w:r>
    </w:p>
    <w:p w14:paraId="7490AE53" w14:textId="2E255918" w:rsidR="00A9231A" w:rsidRPr="00A9231A" w:rsidRDefault="00A9231A" w:rsidP="00A9231A">
      <w:pPr>
        <w:rPr>
          <w:b/>
          <w:szCs w:val="21"/>
        </w:rPr>
      </w:pPr>
      <w:r>
        <w:rPr>
          <w:b/>
          <w:szCs w:val="21"/>
        </w:rPr>
        <w:t>Proposal</w:t>
      </w:r>
      <w:r w:rsidR="00426394">
        <w:rPr>
          <w:b/>
          <w:szCs w:val="21"/>
        </w:rPr>
        <w:t xml:space="preserve"> 3</w:t>
      </w:r>
      <w:r>
        <w:rPr>
          <w:b/>
          <w:szCs w:val="21"/>
        </w:rPr>
        <w:t xml:space="preserve">, RAN3 to discuss </w:t>
      </w:r>
      <w:r w:rsidR="008C0CA2">
        <w:rPr>
          <w:b/>
          <w:szCs w:val="21"/>
        </w:rPr>
        <w:t xml:space="preserve">when to trigger the context sharing and </w:t>
      </w:r>
      <w:r>
        <w:rPr>
          <w:b/>
          <w:szCs w:val="21"/>
        </w:rPr>
        <w:t xml:space="preserve">what information will be updated </w:t>
      </w:r>
      <w:r w:rsidR="008C0CA2">
        <w:rPr>
          <w:b/>
          <w:szCs w:val="21"/>
        </w:rPr>
        <w:t xml:space="preserve">after the context sharing. </w:t>
      </w:r>
    </w:p>
    <w:p w14:paraId="6AE9E1CD" w14:textId="6F237DE5" w:rsidR="008C0CA2" w:rsidRPr="00971F47" w:rsidRDefault="008C0CA2" w:rsidP="008C0CA2">
      <w:pPr>
        <w:pStyle w:val="2"/>
      </w:pPr>
      <w:r w:rsidRPr="00971F47">
        <w:t>2.</w:t>
      </w:r>
      <w:r>
        <w:t>2</w:t>
      </w:r>
      <w:r w:rsidRPr="00971F47">
        <w:t xml:space="preserve"> </w:t>
      </w:r>
      <w:r w:rsidRPr="008C0CA2">
        <w:t xml:space="preserve">UE handover to target mobile IAB-node </w:t>
      </w:r>
    </w:p>
    <w:p w14:paraId="29885409" w14:textId="0EE4D6FB" w:rsidR="008C0CA2" w:rsidRDefault="008C0CA2" w:rsidP="008C0CA2">
      <w:pPr>
        <w:rPr>
          <w:szCs w:val="21"/>
        </w:rPr>
      </w:pPr>
      <w:r>
        <w:rPr>
          <w:szCs w:val="21"/>
        </w:rPr>
        <w:t>For the UE handover to the target mobile IAB-node, we think</w:t>
      </w:r>
      <w:r w:rsidRPr="008C0CA2">
        <w:rPr>
          <w:szCs w:val="21"/>
        </w:rPr>
        <w:t xml:space="preserve"> the source CU of a UE should know that the target cell considered for UE handover belongs to a mobile IAB-node</w:t>
      </w:r>
      <w:r>
        <w:rPr>
          <w:szCs w:val="21"/>
        </w:rPr>
        <w:t>, furthermore, we think the source donor CU should be aware of whether the UE is onboard UE or surrounding UE, so that the source donor CU can make a proper mobility decision for the UE.</w:t>
      </w:r>
    </w:p>
    <w:p w14:paraId="7C1814CD" w14:textId="5BA9CD9F" w:rsidR="008C0CA2" w:rsidRDefault="008C0CA2" w:rsidP="008C0CA2">
      <w:pPr>
        <w:rPr>
          <w:szCs w:val="21"/>
        </w:rPr>
      </w:pPr>
      <w:r>
        <w:rPr>
          <w:szCs w:val="21"/>
        </w:rPr>
        <w:t xml:space="preserve">If the UE is onboard UE, the source donor CU of the UE can consider perform group mobility for the onboard UEs, as well as perform RACH-less procedure for those UEs. </w:t>
      </w:r>
    </w:p>
    <w:p w14:paraId="5A6D6C69" w14:textId="1BF141DF" w:rsidR="008C0CA2" w:rsidRDefault="008C0CA2" w:rsidP="008C0CA2">
      <w:pPr>
        <w:rPr>
          <w:szCs w:val="21"/>
        </w:rPr>
      </w:pPr>
      <w:r>
        <w:rPr>
          <w:szCs w:val="21"/>
        </w:rPr>
        <w:t>If the UE is surrounding UE, the source donor CU of the UE may choose different target cells from the onboard UEs, and legacy mobility procedure will be performed for the surrounding UEs.</w:t>
      </w:r>
    </w:p>
    <w:p w14:paraId="1178DC02" w14:textId="613990F6" w:rsidR="00730BF3" w:rsidRDefault="00730BF3" w:rsidP="008C0CA2">
      <w:pPr>
        <w:rPr>
          <w:szCs w:val="21"/>
        </w:rPr>
      </w:pPr>
      <w:r>
        <w:rPr>
          <w:szCs w:val="21"/>
        </w:rPr>
        <w:t xml:space="preserve">In our view, a network-based onboard UE identification can be considered, which can use existing information to identify the onboard UE, both R18 UE and legacy UE can be supported. </w:t>
      </w:r>
    </w:p>
    <w:p w14:paraId="6E0C99BC" w14:textId="6B492562" w:rsidR="008C0CA2" w:rsidRDefault="008C0CA2" w:rsidP="008C0CA2">
      <w:pPr>
        <w:rPr>
          <w:b/>
          <w:szCs w:val="21"/>
        </w:rPr>
      </w:pPr>
      <w:r w:rsidRPr="00730BF3">
        <w:rPr>
          <w:b/>
          <w:szCs w:val="21"/>
        </w:rPr>
        <w:t>Observation</w:t>
      </w:r>
      <w:r w:rsidR="00426394">
        <w:rPr>
          <w:b/>
          <w:szCs w:val="21"/>
        </w:rPr>
        <w:t xml:space="preserve"> 2</w:t>
      </w:r>
      <w:r w:rsidRPr="00730BF3">
        <w:rPr>
          <w:b/>
          <w:szCs w:val="21"/>
        </w:rPr>
        <w:t xml:space="preserve">, it is necessary for the source donor CU to be aware of whether the UE is onboard or not, then the source donor CU can perform the proper action for UE’s mobility procedure. </w:t>
      </w:r>
    </w:p>
    <w:p w14:paraId="3BF2E229" w14:textId="641C3CCF" w:rsidR="00730BF3" w:rsidRDefault="00730BF3" w:rsidP="008C0CA2">
      <w:pPr>
        <w:rPr>
          <w:b/>
          <w:szCs w:val="21"/>
        </w:rPr>
      </w:pPr>
      <w:r>
        <w:rPr>
          <w:b/>
          <w:szCs w:val="21"/>
        </w:rPr>
        <w:t>Observation</w:t>
      </w:r>
      <w:r w:rsidR="00426394">
        <w:rPr>
          <w:b/>
          <w:szCs w:val="21"/>
        </w:rPr>
        <w:t xml:space="preserve"> 3</w:t>
      </w:r>
      <w:r>
        <w:rPr>
          <w:b/>
          <w:szCs w:val="21"/>
        </w:rPr>
        <w:t>, network-based onboard UE identification can support both Rel-18 UEs and legacy UEs by using existing signalling and information.</w:t>
      </w:r>
    </w:p>
    <w:p w14:paraId="1F5EAA24" w14:textId="09A1614A" w:rsidR="00730BF3" w:rsidRDefault="00730BF3" w:rsidP="008C0CA2">
      <w:pPr>
        <w:rPr>
          <w:b/>
          <w:szCs w:val="21"/>
          <w:lang w:eastAsia="zh-CN"/>
        </w:rPr>
      </w:pPr>
      <w:r>
        <w:rPr>
          <w:b/>
          <w:szCs w:val="21"/>
          <w:lang w:eastAsia="zh-CN"/>
        </w:rPr>
        <w:t>P</w:t>
      </w:r>
      <w:r>
        <w:rPr>
          <w:rFonts w:hint="eastAsia"/>
          <w:b/>
          <w:szCs w:val="21"/>
          <w:lang w:eastAsia="zh-CN"/>
        </w:rPr>
        <w:t>roposal</w:t>
      </w:r>
      <w:r w:rsidR="00426394">
        <w:rPr>
          <w:b/>
          <w:szCs w:val="21"/>
          <w:lang w:eastAsia="zh-CN"/>
        </w:rPr>
        <w:t xml:space="preserve"> 4</w:t>
      </w:r>
      <w:r>
        <w:rPr>
          <w:rFonts w:hint="eastAsia"/>
          <w:b/>
          <w:szCs w:val="21"/>
          <w:lang w:eastAsia="zh-CN"/>
        </w:rPr>
        <w:t>,</w:t>
      </w:r>
      <w:r>
        <w:rPr>
          <w:b/>
          <w:szCs w:val="21"/>
          <w:lang w:eastAsia="zh-CN"/>
        </w:rPr>
        <w:t xml:space="preserve"> </w:t>
      </w:r>
      <w:r>
        <w:rPr>
          <w:rFonts w:hint="eastAsia"/>
          <w:b/>
          <w:szCs w:val="21"/>
          <w:lang w:eastAsia="zh-CN"/>
        </w:rPr>
        <w:t>t</w:t>
      </w:r>
      <w:r>
        <w:rPr>
          <w:b/>
          <w:szCs w:val="21"/>
          <w:lang w:eastAsia="zh-CN"/>
        </w:rPr>
        <w:t>he source IAB-donor CU of the UE should be aware of whether the UE is onboard UE or surrounding UE.</w:t>
      </w:r>
    </w:p>
    <w:p w14:paraId="22552FE1" w14:textId="0D386FAB" w:rsidR="00730BF3" w:rsidRPr="00730BF3" w:rsidRDefault="00730BF3" w:rsidP="008C0CA2">
      <w:pPr>
        <w:rPr>
          <w:b/>
          <w:szCs w:val="21"/>
        </w:rPr>
      </w:pPr>
      <w:r>
        <w:rPr>
          <w:b/>
          <w:szCs w:val="21"/>
        </w:rPr>
        <w:t>Proposal</w:t>
      </w:r>
      <w:r w:rsidR="00426394">
        <w:rPr>
          <w:b/>
          <w:szCs w:val="21"/>
        </w:rPr>
        <w:t xml:space="preserve"> 5</w:t>
      </w:r>
      <w:r>
        <w:rPr>
          <w:b/>
          <w:szCs w:val="21"/>
        </w:rPr>
        <w:t>, RAN3 to discuss network-based onboard UE identification to support UE mobility enhancement.</w:t>
      </w:r>
    </w:p>
    <w:p w14:paraId="7472B189" w14:textId="009298C2" w:rsidR="008C0CA2" w:rsidRPr="00F61F76" w:rsidRDefault="008C0CA2" w:rsidP="008C0CA2">
      <w:pPr>
        <w:rPr>
          <w:szCs w:val="21"/>
        </w:rPr>
      </w:pPr>
      <w:r w:rsidRPr="00F61F76">
        <w:rPr>
          <w:szCs w:val="21"/>
        </w:rPr>
        <w:t>Regarding how to identify on-board UEs, the following two options can be considered.</w:t>
      </w:r>
    </w:p>
    <w:p w14:paraId="6F11D8DE" w14:textId="77777777" w:rsidR="008C0CA2" w:rsidRPr="00F61F76" w:rsidRDefault="008C0CA2" w:rsidP="008C0CA2">
      <w:pPr>
        <w:pStyle w:val="a9"/>
        <w:widowControl/>
        <w:numPr>
          <w:ilvl w:val="0"/>
          <w:numId w:val="18"/>
        </w:numPr>
        <w:ind w:leftChars="0"/>
        <w:contextualSpacing/>
        <w:rPr>
          <w:rFonts w:ascii="Times New Roman" w:hAnsi="Times New Roman"/>
          <w:kern w:val="0"/>
          <w:sz w:val="20"/>
          <w:szCs w:val="21"/>
          <w:lang w:val="en-GB" w:eastAsia="en-US"/>
        </w:rPr>
      </w:pPr>
      <w:r w:rsidRPr="00F61F76">
        <w:rPr>
          <w:rFonts w:ascii="Times New Roman" w:hAnsi="Times New Roman"/>
          <w:kern w:val="0"/>
          <w:sz w:val="20"/>
          <w:szCs w:val="21"/>
          <w:lang w:val="en-GB" w:eastAsia="en-US"/>
        </w:rPr>
        <w:t>Option 1, RAN-based solution, evaluate the relative location (including coordinates and velocity) between UE and it’s served IAB-node</w:t>
      </w:r>
    </w:p>
    <w:p w14:paraId="5E27FBA3" w14:textId="6569BB44" w:rsidR="008C0CA2" w:rsidRDefault="008C0CA2" w:rsidP="008C0CA2">
      <w:pPr>
        <w:pStyle w:val="a9"/>
        <w:widowControl/>
        <w:numPr>
          <w:ilvl w:val="0"/>
          <w:numId w:val="18"/>
        </w:numPr>
        <w:ind w:leftChars="0"/>
        <w:contextualSpacing/>
        <w:rPr>
          <w:rFonts w:ascii="Times New Roman" w:hAnsi="Times New Roman"/>
          <w:kern w:val="0"/>
          <w:sz w:val="20"/>
          <w:szCs w:val="21"/>
          <w:lang w:val="en-GB" w:eastAsia="en-US"/>
        </w:rPr>
      </w:pPr>
      <w:r w:rsidRPr="00F61F76">
        <w:rPr>
          <w:rFonts w:ascii="Times New Roman" w:hAnsi="Times New Roman"/>
          <w:kern w:val="0"/>
          <w:sz w:val="20"/>
          <w:szCs w:val="21"/>
          <w:lang w:val="en-GB" w:eastAsia="en-US"/>
        </w:rPr>
        <w:t>Option 2, CN-based solution, may be similar to UE on-boarding procedure in SNPN.</w:t>
      </w:r>
    </w:p>
    <w:p w14:paraId="24420203" w14:textId="77777777" w:rsidR="00730BF3" w:rsidRPr="00730BF3" w:rsidRDefault="00730BF3" w:rsidP="008C0CA2">
      <w:pPr>
        <w:pStyle w:val="a9"/>
        <w:widowControl/>
        <w:numPr>
          <w:ilvl w:val="0"/>
          <w:numId w:val="18"/>
        </w:numPr>
        <w:ind w:leftChars="0"/>
        <w:contextualSpacing/>
        <w:rPr>
          <w:rFonts w:ascii="Times New Roman" w:hAnsi="Times New Roman"/>
          <w:kern w:val="0"/>
          <w:sz w:val="20"/>
          <w:szCs w:val="21"/>
          <w:lang w:val="en-GB" w:eastAsia="en-US"/>
        </w:rPr>
      </w:pPr>
    </w:p>
    <w:p w14:paraId="3EED80C5" w14:textId="77777777" w:rsidR="008C0CA2" w:rsidRPr="00F61F76" w:rsidRDefault="008C0CA2" w:rsidP="008C0CA2">
      <w:pPr>
        <w:rPr>
          <w:szCs w:val="21"/>
        </w:rPr>
      </w:pPr>
      <w:r w:rsidRPr="00F61F76">
        <w:rPr>
          <w:szCs w:val="21"/>
        </w:rPr>
        <w:t xml:space="preserve">Considering the SA2’s timeline, CN-based solution may be preferred by SA2, we think RAN3 can discuss RAN-based solution firstly. </w:t>
      </w:r>
    </w:p>
    <w:p w14:paraId="57499FE5" w14:textId="1BB203A8" w:rsidR="008C0CA2" w:rsidRDefault="00730BF3" w:rsidP="00730BF3">
      <w:pPr>
        <w:rPr>
          <w:szCs w:val="21"/>
        </w:rPr>
      </w:pPr>
      <w:r>
        <w:rPr>
          <w:szCs w:val="21"/>
        </w:rPr>
        <w:t>Considering that the onboard UE identification is used for the donor CU of the UE, for RAN-based solution, we think the IAB-donor CU of the UE can perform the onboard evaluation.</w:t>
      </w:r>
    </w:p>
    <w:p w14:paraId="3E87FE97" w14:textId="1F069663" w:rsidR="008C0CA2" w:rsidRPr="00854174" w:rsidRDefault="00730BF3" w:rsidP="008C0CA2">
      <w:pPr>
        <w:rPr>
          <w:szCs w:val="21"/>
        </w:rPr>
      </w:pPr>
      <w:r>
        <w:rPr>
          <w:szCs w:val="21"/>
        </w:rPr>
        <w:t xml:space="preserve">Regarding how to evaluate, we think at least the </w:t>
      </w:r>
      <w:r w:rsidRPr="00730BF3">
        <w:rPr>
          <w:szCs w:val="21"/>
        </w:rPr>
        <w:t>relative location</w:t>
      </w:r>
      <w:r>
        <w:rPr>
          <w:szCs w:val="21"/>
        </w:rPr>
        <w:t xml:space="preserve"> between the mobile IAB node and </w:t>
      </w:r>
      <w:r w:rsidR="00854174">
        <w:rPr>
          <w:szCs w:val="21"/>
        </w:rPr>
        <w:t>UE, e.g. if the relative location r</w:t>
      </w:r>
      <w:r w:rsidR="00854174" w:rsidRPr="00854174">
        <w:rPr>
          <w:szCs w:val="21"/>
        </w:rPr>
        <w:t xml:space="preserve">elatively unchanged </w:t>
      </w:r>
      <w:r w:rsidR="00854174">
        <w:rPr>
          <w:szCs w:val="21"/>
        </w:rPr>
        <w:t xml:space="preserve">during </w:t>
      </w:r>
      <w:proofErr w:type="spellStart"/>
      <w:proofErr w:type="gramStart"/>
      <w:r w:rsidR="00854174">
        <w:rPr>
          <w:szCs w:val="21"/>
        </w:rPr>
        <w:t>a</w:t>
      </w:r>
      <w:proofErr w:type="spellEnd"/>
      <w:proofErr w:type="gramEnd"/>
      <w:r w:rsidR="00854174">
        <w:rPr>
          <w:szCs w:val="21"/>
        </w:rPr>
        <w:t xml:space="preserve"> evaluation time, the UE can be treated as onboard UE, otherwise, it can be treated as surrounding UE. And the relative location can be calculated by knowing the location info of the UE and mobile IAB node, which can be obtained by IAB-donor via existing signalling and information. </w:t>
      </w:r>
    </w:p>
    <w:p w14:paraId="2A445E92" w14:textId="66B36A8E" w:rsidR="008C0CA2" w:rsidRDefault="008C0CA2" w:rsidP="008C0CA2">
      <w:pPr>
        <w:rPr>
          <w:b/>
          <w:szCs w:val="21"/>
        </w:rPr>
      </w:pPr>
      <w:r>
        <w:rPr>
          <w:b/>
          <w:szCs w:val="21"/>
        </w:rPr>
        <w:t xml:space="preserve">Proposal </w:t>
      </w:r>
      <w:r w:rsidR="00426394">
        <w:rPr>
          <w:b/>
          <w:szCs w:val="21"/>
        </w:rPr>
        <w:t>6</w:t>
      </w:r>
      <w:r>
        <w:rPr>
          <w:b/>
          <w:szCs w:val="21"/>
        </w:rPr>
        <w:t xml:space="preserve">, </w:t>
      </w:r>
      <w:r w:rsidR="00730BF3">
        <w:rPr>
          <w:b/>
          <w:szCs w:val="21"/>
        </w:rPr>
        <w:t>the source</w:t>
      </w:r>
      <w:r>
        <w:rPr>
          <w:b/>
          <w:szCs w:val="21"/>
        </w:rPr>
        <w:t xml:space="preserve"> </w:t>
      </w:r>
      <w:r w:rsidR="00730BF3">
        <w:rPr>
          <w:b/>
          <w:szCs w:val="21"/>
          <w:lang w:eastAsia="zh-CN"/>
        </w:rPr>
        <w:t xml:space="preserve">IAB-donor CU of the UE </w:t>
      </w:r>
      <w:r>
        <w:rPr>
          <w:b/>
          <w:szCs w:val="21"/>
        </w:rPr>
        <w:t xml:space="preserve">is responsible for </w:t>
      </w:r>
      <w:r w:rsidRPr="00943B23">
        <w:rPr>
          <w:b/>
          <w:szCs w:val="21"/>
        </w:rPr>
        <w:t>on-board UE evaluation</w:t>
      </w:r>
      <w:r w:rsidR="00842ABD">
        <w:rPr>
          <w:b/>
          <w:szCs w:val="21"/>
        </w:rPr>
        <w:t>.</w:t>
      </w:r>
    </w:p>
    <w:p w14:paraId="0B0EBB69" w14:textId="0D6EF2A0" w:rsidR="00854174" w:rsidRDefault="00854174" w:rsidP="008C0CA2">
      <w:pPr>
        <w:rPr>
          <w:b/>
          <w:szCs w:val="21"/>
        </w:rPr>
      </w:pPr>
      <w:r>
        <w:rPr>
          <w:b/>
          <w:szCs w:val="21"/>
        </w:rPr>
        <w:t xml:space="preserve">Proposal </w:t>
      </w:r>
      <w:r w:rsidR="00426394">
        <w:rPr>
          <w:b/>
          <w:szCs w:val="21"/>
        </w:rPr>
        <w:t>7</w:t>
      </w:r>
      <w:r>
        <w:rPr>
          <w:b/>
          <w:szCs w:val="21"/>
        </w:rPr>
        <w:t xml:space="preserve">, the relative location </w:t>
      </w:r>
      <w:r w:rsidRPr="00854174">
        <w:rPr>
          <w:b/>
          <w:szCs w:val="21"/>
        </w:rPr>
        <w:t>between the mobile IAB node and UE</w:t>
      </w:r>
      <w:r>
        <w:rPr>
          <w:b/>
          <w:szCs w:val="21"/>
        </w:rPr>
        <w:t xml:space="preserve"> can be used to identify whether the UE is onboard UE or surrounding UE.</w:t>
      </w:r>
    </w:p>
    <w:p w14:paraId="184F6C66" w14:textId="77777777" w:rsidR="005F6DE2" w:rsidRPr="005F6DE2" w:rsidRDefault="005F6DE2" w:rsidP="005F6DE2">
      <w:pPr>
        <w:pStyle w:val="Doc-text2"/>
        <w:ind w:left="0" w:firstLine="0"/>
      </w:pPr>
    </w:p>
    <w:p w14:paraId="172E7D49" w14:textId="77777777" w:rsidR="007D321F" w:rsidRDefault="007D321F" w:rsidP="007D321F">
      <w:pPr>
        <w:pStyle w:val="Doc-text2"/>
      </w:pPr>
    </w:p>
    <w:p w14:paraId="656544A7" w14:textId="1AD6E461" w:rsidR="007D321F" w:rsidRDefault="00854174" w:rsidP="00854174">
      <w:pPr>
        <w:pStyle w:val="2"/>
      </w:pPr>
      <w:r w:rsidRPr="00971F47">
        <w:lastRenderedPageBreak/>
        <w:t>2.</w:t>
      </w:r>
      <w:r>
        <w:t>3</w:t>
      </w:r>
      <w:r w:rsidRPr="00971F47">
        <w:t xml:space="preserve"> </w:t>
      </w:r>
      <w:r>
        <w:t xml:space="preserve">TAC/RANC </w:t>
      </w:r>
      <w:r w:rsidRPr="00854174">
        <w:t>broadcast by IAB-node</w:t>
      </w:r>
    </w:p>
    <w:p w14:paraId="385825C0" w14:textId="72FA76A1" w:rsidR="00A757D7" w:rsidRPr="00A757D7" w:rsidRDefault="00085143" w:rsidP="00A757D7">
      <w:pPr>
        <w:pStyle w:val="Agreement"/>
        <w:numPr>
          <w:ilvl w:val="0"/>
          <w:numId w:val="0"/>
        </w:numPr>
        <w:tabs>
          <w:tab w:val="left" w:pos="720"/>
        </w:tabs>
        <w:rPr>
          <w:rFonts w:ascii="Times New Roman" w:hAnsi="Times New Roman"/>
          <w:b w:val="0"/>
        </w:rPr>
      </w:pPr>
      <w:r w:rsidRPr="00A757D7">
        <w:rPr>
          <w:rFonts w:ascii="Times New Roman" w:hAnsi="Times New Roman"/>
          <w:b w:val="0"/>
        </w:rPr>
        <w:t xml:space="preserve">Two options of TAC had been discussed </w:t>
      </w:r>
      <w:r w:rsidR="00A757D7" w:rsidRPr="00A757D7">
        <w:rPr>
          <w:rFonts w:ascii="Times New Roman" w:hAnsi="Times New Roman"/>
          <w:b w:val="0"/>
        </w:rPr>
        <w:t xml:space="preserve">in SA2, according to the latest conclusion </w:t>
      </w:r>
      <w:r w:rsidR="00A757D7">
        <w:rPr>
          <w:rFonts w:ascii="Times New Roman" w:hAnsi="Times New Roman"/>
          <w:b w:val="0"/>
        </w:rPr>
        <w:t>in TR</w:t>
      </w:r>
      <w:r w:rsidR="00A757D7" w:rsidRPr="00A757D7">
        <w:t xml:space="preserve"> </w:t>
      </w:r>
      <w:proofErr w:type="spellStart"/>
      <w:r w:rsidR="00A757D7" w:rsidRPr="00A757D7">
        <w:rPr>
          <w:rFonts w:ascii="Times New Roman" w:hAnsi="Times New Roman"/>
          <w:b w:val="0"/>
        </w:rPr>
        <w:t>TR</w:t>
      </w:r>
      <w:proofErr w:type="spellEnd"/>
      <w:r w:rsidR="00A757D7" w:rsidRPr="00A757D7">
        <w:rPr>
          <w:rFonts w:ascii="Times New Roman" w:hAnsi="Times New Roman"/>
          <w:b w:val="0"/>
        </w:rPr>
        <w:t xml:space="preserve"> 23.700-05 V1.1.0</w:t>
      </w:r>
      <w:r w:rsidR="00A757D7">
        <w:rPr>
          <w:rFonts w:ascii="Times New Roman" w:hAnsi="Times New Roman"/>
          <w:b w:val="0"/>
        </w:rPr>
        <w:t xml:space="preserve"> </w:t>
      </w:r>
      <w:r w:rsidR="00A757D7" w:rsidRPr="00A757D7">
        <w:rPr>
          <w:rFonts w:ascii="Times New Roman" w:hAnsi="Times New Roman"/>
          <w:b w:val="0"/>
        </w:rPr>
        <w:t>from SA2</w:t>
      </w:r>
      <w:r w:rsidR="00A757D7">
        <w:rPr>
          <w:rFonts w:ascii="Times New Roman" w:hAnsi="Times New Roman"/>
          <w:b w:val="0"/>
        </w:rPr>
        <w:t xml:space="preserve"> as below, the dynamic TAC is used from SA2 perspective, and the static TAC is subject to RAN feedback.</w:t>
      </w:r>
    </w:p>
    <w:p w14:paraId="182A6D21" w14:textId="2EA958C4" w:rsidR="00A757D7" w:rsidRDefault="00A757D7" w:rsidP="00A757D7">
      <w:pPr>
        <w:pStyle w:val="Doc-text2"/>
        <w:ind w:left="0" w:firstLine="0"/>
      </w:pPr>
    </w:p>
    <w:p w14:paraId="0C28A2EF" w14:textId="77777777" w:rsidR="00A757D7" w:rsidRPr="00A757D7" w:rsidRDefault="00A757D7" w:rsidP="00A757D7">
      <w:pPr>
        <w:rPr>
          <w:i/>
        </w:rPr>
      </w:pPr>
      <w:r w:rsidRPr="00A757D7">
        <w:rPr>
          <w:i/>
        </w:rPr>
        <w:t>For KI#3, the interim conclusions are as follows:</w:t>
      </w:r>
    </w:p>
    <w:p w14:paraId="0DFF6319" w14:textId="77777777" w:rsidR="00A757D7" w:rsidRPr="00A757D7" w:rsidRDefault="00A757D7" w:rsidP="00A757D7">
      <w:pPr>
        <w:pStyle w:val="B1"/>
        <w:rPr>
          <w:i/>
        </w:rPr>
      </w:pPr>
      <w:r w:rsidRPr="00A757D7">
        <w:rPr>
          <w:i/>
        </w:rPr>
        <w:t>-</w:t>
      </w:r>
      <w:r w:rsidRPr="00A757D7">
        <w:rPr>
          <w:i/>
        </w:rPr>
        <w:tab/>
        <w:t>During MBSR’s mobility, the TAC broadcasted by the MBSR is the same as the TAC of the cell where the IAB-UE is located.</w:t>
      </w:r>
      <w:r w:rsidRPr="00A757D7">
        <w:rPr>
          <w:i/>
          <w:lang w:eastAsia="zh-CN"/>
        </w:rPr>
        <w:t xml:space="preserve"> When the IAB-UE enters to a new TA, the cell broadcasting information is updated accordingly.</w:t>
      </w:r>
    </w:p>
    <w:p w14:paraId="1989795F" w14:textId="77777777" w:rsidR="00A757D7" w:rsidRPr="00A757D7" w:rsidRDefault="00A757D7" w:rsidP="00A757D7">
      <w:pPr>
        <w:pStyle w:val="B1"/>
        <w:rPr>
          <w:i/>
        </w:rPr>
      </w:pPr>
      <w:r w:rsidRPr="00A757D7">
        <w:rPr>
          <w:i/>
          <w:lang w:eastAsia="zh-CN"/>
        </w:rPr>
        <w:t>-</w:t>
      </w:r>
      <w:r w:rsidRPr="00A757D7">
        <w:rPr>
          <w:i/>
          <w:lang w:eastAsia="zh-CN"/>
        </w:rPr>
        <w:tab/>
        <w:t>The UE’s mobility management is performed using the legacy mechanism as defined in the TS 23.501 [2] and TS 23.502 [5].</w:t>
      </w:r>
      <w:r w:rsidRPr="00A757D7">
        <w:rPr>
          <w:i/>
        </w:rPr>
        <w:t xml:space="preserve"> The UE in CM-Idle shall follow legacy procedure when detecting a TAC which is not in the TA list. </w:t>
      </w:r>
    </w:p>
    <w:p w14:paraId="4A01E955" w14:textId="77777777" w:rsidR="00A757D7" w:rsidRPr="00A757D7" w:rsidRDefault="00A757D7" w:rsidP="00A757D7">
      <w:pPr>
        <w:pStyle w:val="B1"/>
        <w:rPr>
          <w:i/>
        </w:rPr>
      </w:pPr>
      <w:r w:rsidRPr="00A757D7">
        <w:rPr>
          <w:rStyle w:val="B1Char"/>
          <w:i/>
        </w:rPr>
        <w:t>-</w:t>
      </w:r>
      <w:r w:rsidRPr="00A757D7">
        <w:rPr>
          <w:rStyle w:val="B1Char"/>
          <w:i/>
        </w:rPr>
        <w:tab/>
        <w:t>Each UE connected via the MBSR may have different serving AMFs e.g., due to slicing and individual PDU sessions/QoS service flows configured. UE context handling and path switching would be handled per each individual UE</w:t>
      </w:r>
      <w:r w:rsidRPr="00A757D7">
        <w:rPr>
          <w:i/>
        </w:rPr>
        <w:t>.</w:t>
      </w:r>
    </w:p>
    <w:p w14:paraId="46614815" w14:textId="77777777" w:rsidR="00A757D7" w:rsidRPr="00A757D7" w:rsidRDefault="00A757D7" w:rsidP="00A757D7">
      <w:pPr>
        <w:pStyle w:val="EditorsNote"/>
        <w:rPr>
          <w:i/>
        </w:rPr>
      </w:pPr>
      <w:r w:rsidRPr="00A757D7">
        <w:rPr>
          <w:rFonts w:hint="eastAsia"/>
          <w:i/>
        </w:rPr>
        <w:t>E</w:t>
      </w:r>
      <w:r w:rsidRPr="00A757D7">
        <w:rPr>
          <w:i/>
        </w:rPr>
        <w:t>ditor's note: The above interim conclusion and support of group mobility are subject to feedback of RAN WGs and will be revisited as per the feedback.</w:t>
      </w:r>
    </w:p>
    <w:p w14:paraId="1D171E2E" w14:textId="77777777" w:rsidR="00A757D7" w:rsidRPr="00A757D7" w:rsidRDefault="00A757D7" w:rsidP="00A757D7">
      <w:pPr>
        <w:pStyle w:val="EditorsNote"/>
        <w:rPr>
          <w:i/>
        </w:rPr>
      </w:pPr>
      <w:r w:rsidRPr="00A757D7">
        <w:rPr>
          <w:rFonts w:hint="eastAsia"/>
          <w:i/>
        </w:rPr>
        <w:t>E</w:t>
      </w:r>
      <w:r w:rsidRPr="00A757D7">
        <w:rPr>
          <w:i/>
        </w:rPr>
        <w:t xml:space="preserve">ditor's note: Regarding </w:t>
      </w:r>
      <w:r w:rsidRPr="00A757D7">
        <w:rPr>
          <w:rFonts w:hint="eastAsia"/>
          <w:i/>
        </w:rPr>
        <w:t>the alternatives assuming MBSR operates with dedicated TAC(s)</w:t>
      </w:r>
      <w:r w:rsidRPr="00A757D7">
        <w:rPr>
          <w:i/>
        </w:rPr>
        <w:t>, it is subject to the feedback of RAN WGs.</w:t>
      </w:r>
    </w:p>
    <w:p w14:paraId="1AED884E" w14:textId="77777777" w:rsidR="00A757D7" w:rsidRPr="00A757D7" w:rsidRDefault="00A757D7" w:rsidP="00A757D7">
      <w:pPr>
        <w:pStyle w:val="EditorsNote"/>
        <w:rPr>
          <w:i/>
        </w:rPr>
      </w:pPr>
      <w:r w:rsidRPr="00A757D7">
        <w:rPr>
          <w:rFonts w:hint="eastAsia"/>
          <w:i/>
        </w:rPr>
        <w:t>E</w:t>
      </w:r>
      <w:r w:rsidRPr="00A757D7">
        <w:rPr>
          <w:i/>
        </w:rPr>
        <w:t>ditor's note: For UEs in RRC-Connected/CM-Connected state via an MBSR, whether and how to guarantee UE’s service continuity is subject to the IAB full migration/mobility in the RAN Rel-18 study.</w:t>
      </w:r>
    </w:p>
    <w:p w14:paraId="2592D7A7" w14:textId="77777777" w:rsidR="00A757D7" w:rsidRPr="00A757D7" w:rsidRDefault="00A757D7" w:rsidP="00A757D7">
      <w:pPr>
        <w:pStyle w:val="EditorsNote"/>
        <w:rPr>
          <w:i/>
          <w:lang w:val="en-US"/>
        </w:rPr>
      </w:pPr>
      <w:r w:rsidRPr="00A757D7">
        <w:rPr>
          <w:i/>
        </w:rPr>
        <w:t>Editor</w:t>
      </w:r>
      <w:r w:rsidRPr="00A757D7">
        <w:rPr>
          <w:i/>
          <w:lang w:val="en-US"/>
        </w:rPr>
        <w:t>'s note: The alternatives assuming MBSR operates with dedicated TAC(s) or TAC from Donor are subject to the feedback of RAN WGs.</w:t>
      </w:r>
    </w:p>
    <w:p w14:paraId="74D7FE74" w14:textId="41DF7C8D" w:rsidR="00A757D7" w:rsidRDefault="00A757D7" w:rsidP="00A757D7">
      <w:pPr>
        <w:pStyle w:val="Doc-text2"/>
        <w:ind w:left="0" w:firstLine="0"/>
        <w:rPr>
          <w:rFonts w:ascii="Times New Roman" w:hAnsi="Times New Roman" w:cs="Times New Roman"/>
          <w:lang w:val="en-US"/>
        </w:rPr>
      </w:pPr>
      <w:r w:rsidRPr="00A757D7">
        <w:rPr>
          <w:rFonts w:ascii="Times New Roman" w:hAnsi="Times New Roman" w:cs="Times New Roman"/>
          <w:lang w:val="en-US"/>
        </w:rPr>
        <w:t>From the above conclusion</w:t>
      </w:r>
      <w:r>
        <w:rPr>
          <w:rFonts w:ascii="Times New Roman" w:hAnsi="Times New Roman" w:cs="Times New Roman"/>
          <w:lang w:val="en-US"/>
        </w:rPr>
        <w:t xml:space="preserve"> for SA2, it doesn’t say the static TAC should be supported, and we think before we discuss the detail solution of static TAC, we should discuss whether dynamic TAC is enough or not, whether the static TAC is </w:t>
      </w:r>
      <w:bookmarkStart w:id="1" w:name="_Hlk118451297"/>
      <w:r w:rsidRPr="00A757D7">
        <w:rPr>
          <w:rFonts w:ascii="Times New Roman" w:hAnsi="Times New Roman" w:cs="Times New Roman"/>
          <w:lang w:val="en-US"/>
        </w:rPr>
        <w:t>necessary</w:t>
      </w:r>
      <w:r>
        <w:rPr>
          <w:rFonts w:ascii="Times New Roman" w:hAnsi="Times New Roman" w:cs="Times New Roman"/>
          <w:lang w:val="en-US"/>
        </w:rPr>
        <w:t xml:space="preserve"> </w:t>
      </w:r>
      <w:bookmarkEnd w:id="1"/>
      <w:r>
        <w:rPr>
          <w:rFonts w:ascii="Times New Roman" w:hAnsi="Times New Roman" w:cs="Times New Roman"/>
          <w:lang w:val="en-US"/>
        </w:rPr>
        <w:t xml:space="preserve">or not. </w:t>
      </w:r>
    </w:p>
    <w:p w14:paraId="29B89896" w14:textId="286345E6" w:rsidR="00A757D7" w:rsidRDefault="00A757D7" w:rsidP="00A757D7">
      <w:pPr>
        <w:pStyle w:val="Doc-text2"/>
        <w:ind w:left="0" w:firstLine="0"/>
        <w:rPr>
          <w:rFonts w:ascii="Times New Roman" w:hAnsi="Times New Roman" w:cs="Times New Roman"/>
          <w:lang w:val="en-US"/>
        </w:rPr>
      </w:pPr>
    </w:p>
    <w:p w14:paraId="6A1D27CA" w14:textId="355DB347" w:rsidR="00842ABD" w:rsidRDefault="00A757D7" w:rsidP="00A757D7">
      <w:pPr>
        <w:rPr>
          <w:b/>
          <w:szCs w:val="21"/>
        </w:rPr>
      </w:pPr>
      <w:r w:rsidRPr="00244585">
        <w:rPr>
          <w:b/>
          <w:szCs w:val="21"/>
        </w:rPr>
        <w:t>Observation</w:t>
      </w:r>
      <w:r>
        <w:rPr>
          <w:b/>
          <w:szCs w:val="21"/>
        </w:rPr>
        <w:t xml:space="preserve"> </w:t>
      </w:r>
      <w:r w:rsidR="00426394">
        <w:rPr>
          <w:b/>
          <w:szCs w:val="21"/>
        </w:rPr>
        <w:t>4</w:t>
      </w:r>
      <w:r w:rsidRPr="00244585">
        <w:rPr>
          <w:b/>
          <w:szCs w:val="21"/>
        </w:rPr>
        <w:t xml:space="preserve">, </w:t>
      </w:r>
      <w:r>
        <w:rPr>
          <w:b/>
          <w:szCs w:val="21"/>
        </w:rPr>
        <w:t>SA2 concludes</w:t>
      </w:r>
      <w:r w:rsidR="00842ABD">
        <w:rPr>
          <w:b/>
          <w:szCs w:val="21"/>
        </w:rPr>
        <w:t xml:space="preserve"> that</w:t>
      </w:r>
      <w:r>
        <w:rPr>
          <w:b/>
          <w:szCs w:val="21"/>
        </w:rPr>
        <w:t xml:space="preserve"> dynamic TAC is </w:t>
      </w:r>
      <w:r w:rsidR="00842ABD">
        <w:rPr>
          <w:b/>
          <w:szCs w:val="21"/>
        </w:rPr>
        <w:t>considered in normative phase.</w:t>
      </w:r>
    </w:p>
    <w:p w14:paraId="5EBA184C" w14:textId="4770E5E0" w:rsidR="00A757D7" w:rsidRDefault="00842ABD" w:rsidP="00A757D7">
      <w:pPr>
        <w:rPr>
          <w:b/>
          <w:szCs w:val="21"/>
        </w:rPr>
      </w:pPr>
      <w:r>
        <w:rPr>
          <w:b/>
          <w:szCs w:val="21"/>
        </w:rPr>
        <w:t>Observation 5, whether static TAC is necessary or not is unclear in SA2’s conclusion.</w:t>
      </w:r>
    </w:p>
    <w:p w14:paraId="5DA299FC" w14:textId="5220FE62" w:rsidR="00A757D7" w:rsidRPr="00244585" w:rsidRDefault="00A757D7" w:rsidP="00A757D7">
      <w:pPr>
        <w:rPr>
          <w:b/>
          <w:szCs w:val="21"/>
        </w:rPr>
      </w:pPr>
      <w:r>
        <w:rPr>
          <w:b/>
          <w:szCs w:val="21"/>
        </w:rPr>
        <w:t>Proposal</w:t>
      </w:r>
      <w:r w:rsidR="00426394">
        <w:rPr>
          <w:b/>
          <w:szCs w:val="21"/>
        </w:rPr>
        <w:t xml:space="preserve"> 8</w:t>
      </w:r>
      <w:r>
        <w:rPr>
          <w:b/>
          <w:szCs w:val="21"/>
        </w:rPr>
        <w:t xml:space="preserve">, RAN3 discuss whether static TAC is </w:t>
      </w:r>
      <w:r w:rsidRPr="00A757D7">
        <w:rPr>
          <w:b/>
          <w:szCs w:val="21"/>
        </w:rPr>
        <w:t>necessary</w:t>
      </w:r>
      <w:r>
        <w:rPr>
          <w:b/>
          <w:szCs w:val="21"/>
        </w:rPr>
        <w:t xml:space="preserve"> before go to the detail solution.</w:t>
      </w:r>
    </w:p>
    <w:p w14:paraId="39AD4B7A" w14:textId="1D498D25" w:rsidR="00A757D7" w:rsidRPr="00A757D7" w:rsidRDefault="00A757D7" w:rsidP="00A757D7">
      <w:pPr>
        <w:pStyle w:val="Doc-text2"/>
        <w:ind w:left="0" w:firstLine="0"/>
        <w:rPr>
          <w:rFonts w:ascii="Times New Roman" w:hAnsi="Times New Roman" w:cs="Times New Roman"/>
        </w:rPr>
      </w:pPr>
    </w:p>
    <w:bookmarkEnd w:id="0"/>
    <w:p w14:paraId="0D110258" w14:textId="77777777" w:rsidR="00CD4C7B" w:rsidRPr="006E13D1" w:rsidRDefault="00972FD7" w:rsidP="00CD4C7B">
      <w:pPr>
        <w:pStyle w:val="1"/>
      </w:pPr>
      <w:r>
        <w:t>3</w:t>
      </w:r>
      <w:r w:rsidR="00CD4C7B" w:rsidRPr="006E13D1">
        <w:tab/>
      </w:r>
      <w:r>
        <w:t>Conclusion</w:t>
      </w:r>
    </w:p>
    <w:p w14:paraId="6093981F" w14:textId="2508C39B" w:rsidR="00CD4C7B" w:rsidRDefault="00ED0D91" w:rsidP="00CD4C7B">
      <w:r>
        <w:t>We have made the following proposals:</w:t>
      </w:r>
    </w:p>
    <w:p w14:paraId="6477C404" w14:textId="77777777" w:rsidR="00426394" w:rsidRPr="00A9231A" w:rsidRDefault="00426394" w:rsidP="00426394">
      <w:pPr>
        <w:rPr>
          <w:b/>
          <w:szCs w:val="21"/>
        </w:rPr>
      </w:pPr>
      <w:r w:rsidRPr="00A9231A">
        <w:rPr>
          <w:b/>
          <w:szCs w:val="21"/>
        </w:rPr>
        <w:t>Proposal</w:t>
      </w:r>
      <w:r>
        <w:rPr>
          <w:b/>
          <w:szCs w:val="21"/>
        </w:rPr>
        <w:t xml:space="preserve"> 1</w:t>
      </w:r>
      <w:r w:rsidRPr="00A9231A">
        <w:rPr>
          <w:b/>
          <w:szCs w:val="21"/>
        </w:rPr>
        <w:t>, the UE context in the DU can be shared between the logical DUs since they are in the same physical node.</w:t>
      </w:r>
    </w:p>
    <w:p w14:paraId="61A7B5D4" w14:textId="77777777" w:rsidR="00426394" w:rsidRDefault="00426394" w:rsidP="00426394">
      <w:pPr>
        <w:rPr>
          <w:b/>
          <w:szCs w:val="21"/>
        </w:rPr>
      </w:pPr>
      <w:r w:rsidRPr="00A9231A">
        <w:rPr>
          <w:b/>
          <w:szCs w:val="21"/>
        </w:rPr>
        <w:t>Proposal</w:t>
      </w:r>
      <w:r>
        <w:rPr>
          <w:b/>
          <w:szCs w:val="21"/>
        </w:rPr>
        <w:t xml:space="preserve"> 2</w:t>
      </w:r>
      <w:r w:rsidRPr="00A9231A">
        <w:rPr>
          <w:b/>
          <w:szCs w:val="21"/>
        </w:rPr>
        <w:t>,</w:t>
      </w:r>
      <w:r>
        <w:rPr>
          <w:b/>
          <w:szCs w:val="21"/>
        </w:rPr>
        <w:t xml:space="preserve"> as baseline, intra-</w:t>
      </w:r>
      <w:proofErr w:type="spellStart"/>
      <w:r>
        <w:rPr>
          <w:b/>
          <w:szCs w:val="21"/>
        </w:rPr>
        <w:t>gNB</w:t>
      </w:r>
      <w:proofErr w:type="spellEnd"/>
      <w:r>
        <w:rPr>
          <w:b/>
          <w:szCs w:val="21"/>
        </w:rPr>
        <w:t>-DU handover can be used for UE’s handover between two logical DUs.</w:t>
      </w:r>
    </w:p>
    <w:p w14:paraId="79F760D3" w14:textId="77777777" w:rsidR="00426394" w:rsidRDefault="00426394" w:rsidP="00426394">
      <w:pPr>
        <w:rPr>
          <w:b/>
          <w:szCs w:val="21"/>
        </w:rPr>
      </w:pPr>
      <w:r>
        <w:rPr>
          <w:b/>
          <w:szCs w:val="21"/>
        </w:rPr>
        <w:t xml:space="preserve">Observation 1, </w:t>
      </w:r>
      <w:r w:rsidRPr="008C0CA2">
        <w:rPr>
          <w:b/>
          <w:szCs w:val="21"/>
        </w:rPr>
        <w:t>information sharing between the logical DUs is up to implementation</w:t>
      </w:r>
      <w:r>
        <w:rPr>
          <w:b/>
          <w:szCs w:val="21"/>
        </w:rPr>
        <w:t>.</w:t>
      </w:r>
    </w:p>
    <w:p w14:paraId="224A848D" w14:textId="1A88F4CD" w:rsidR="00426394" w:rsidRDefault="00426394" w:rsidP="00426394">
      <w:pPr>
        <w:rPr>
          <w:b/>
          <w:szCs w:val="21"/>
        </w:rPr>
      </w:pPr>
      <w:r>
        <w:rPr>
          <w:b/>
          <w:szCs w:val="21"/>
        </w:rPr>
        <w:t xml:space="preserve">Proposal 3, RAN3 to discuss when to trigger the context sharing and what information will be updated after the context sharing. </w:t>
      </w:r>
    </w:p>
    <w:p w14:paraId="6E44983E" w14:textId="77777777" w:rsidR="00426394" w:rsidRDefault="00426394" w:rsidP="00426394">
      <w:pPr>
        <w:rPr>
          <w:b/>
          <w:szCs w:val="21"/>
        </w:rPr>
      </w:pPr>
      <w:r w:rsidRPr="00730BF3">
        <w:rPr>
          <w:b/>
          <w:szCs w:val="21"/>
        </w:rPr>
        <w:t>Observation</w:t>
      </w:r>
      <w:r>
        <w:rPr>
          <w:b/>
          <w:szCs w:val="21"/>
        </w:rPr>
        <w:t xml:space="preserve"> 2</w:t>
      </w:r>
      <w:r w:rsidRPr="00730BF3">
        <w:rPr>
          <w:b/>
          <w:szCs w:val="21"/>
        </w:rPr>
        <w:t xml:space="preserve">, it is necessary for the source donor CU to be aware of whether the UE is onboard or not, then the source donor CU can perform the proper action for UE’s mobility procedure. </w:t>
      </w:r>
    </w:p>
    <w:p w14:paraId="5891716B" w14:textId="77777777" w:rsidR="00426394" w:rsidRDefault="00426394" w:rsidP="00426394">
      <w:pPr>
        <w:rPr>
          <w:b/>
          <w:szCs w:val="21"/>
        </w:rPr>
      </w:pPr>
      <w:r>
        <w:rPr>
          <w:b/>
          <w:szCs w:val="21"/>
        </w:rPr>
        <w:t>Observation 3, network-based onboard UE identification can support both Rel-18 UEs and legacy UEs by using existing signalling and information.</w:t>
      </w:r>
    </w:p>
    <w:p w14:paraId="5EB8E91D" w14:textId="77777777" w:rsidR="00426394" w:rsidRDefault="00426394" w:rsidP="00426394">
      <w:pPr>
        <w:rPr>
          <w:b/>
          <w:szCs w:val="21"/>
          <w:lang w:eastAsia="zh-CN"/>
        </w:rPr>
      </w:pPr>
      <w:r>
        <w:rPr>
          <w:b/>
          <w:szCs w:val="21"/>
          <w:lang w:eastAsia="zh-CN"/>
        </w:rPr>
        <w:t>P</w:t>
      </w:r>
      <w:r>
        <w:rPr>
          <w:rFonts w:hint="eastAsia"/>
          <w:b/>
          <w:szCs w:val="21"/>
          <w:lang w:eastAsia="zh-CN"/>
        </w:rPr>
        <w:t>roposal</w:t>
      </w:r>
      <w:r>
        <w:rPr>
          <w:b/>
          <w:szCs w:val="21"/>
          <w:lang w:eastAsia="zh-CN"/>
        </w:rPr>
        <w:t xml:space="preserve"> 4</w:t>
      </w:r>
      <w:r>
        <w:rPr>
          <w:rFonts w:hint="eastAsia"/>
          <w:b/>
          <w:szCs w:val="21"/>
          <w:lang w:eastAsia="zh-CN"/>
        </w:rPr>
        <w:t>,</w:t>
      </w:r>
      <w:r>
        <w:rPr>
          <w:b/>
          <w:szCs w:val="21"/>
          <w:lang w:eastAsia="zh-CN"/>
        </w:rPr>
        <w:t xml:space="preserve"> </w:t>
      </w:r>
      <w:r>
        <w:rPr>
          <w:rFonts w:hint="eastAsia"/>
          <w:b/>
          <w:szCs w:val="21"/>
          <w:lang w:eastAsia="zh-CN"/>
        </w:rPr>
        <w:t>t</w:t>
      </w:r>
      <w:r>
        <w:rPr>
          <w:b/>
          <w:szCs w:val="21"/>
          <w:lang w:eastAsia="zh-CN"/>
        </w:rPr>
        <w:t>he source IAB-donor CU of the UE should be aware of whether the UE is onboard UE or surrounding UE.</w:t>
      </w:r>
    </w:p>
    <w:p w14:paraId="76D3F62B" w14:textId="77777777" w:rsidR="00426394" w:rsidRPr="00730BF3" w:rsidRDefault="00426394" w:rsidP="00426394">
      <w:pPr>
        <w:rPr>
          <w:b/>
          <w:szCs w:val="21"/>
        </w:rPr>
      </w:pPr>
      <w:r>
        <w:rPr>
          <w:b/>
          <w:szCs w:val="21"/>
        </w:rPr>
        <w:lastRenderedPageBreak/>
        <w:t>Proposal 5, RAN3 to discuss network-based onboard UE identification to support UE mobility enhancement.</w:t>
      </w:r>
    </w:p>
    <w:p w14:paraId="419EC4A0" w14:textId="05165C35" w:rsidR="00426394" w:rsidRDefault="00426394" w:rsidP="00426394">
      <w:pPr>
        <w:rPr>
          <w:b/>
          <w:szCs w:val="21"/>
        </w:rPr>
      </w:pPr>
      <w:r>
        <w:rPr>
          <w:b/>
          <w:szCs w:val="21"/>
        </w:rPr>
        <w:t xml:space="preserve">Proposal 6, the source </w:t>
      </w:r>
      <w:r>
        <w:rPr>
          <w:b/>
          <w:szCs w:val="21"/>
          <w:lang w:eastAsia="zh-CN"/>
        </w:rPr>
        <w:t xml:space="preserve">IAB-donor CU of the UE </w:t>
      </w:r>
      <w:r>
        <w:rPr>
          <w:b/>
          <w:szCs w:val="21"/>
        </w:rPr>
        <w:t xml:space="preserve">is responsible for </w:t>
      </w:r>
      <w:r w:rsidRPr="00943B23">
        <w:rPr>
          <w:b/>
          <w:szCs w:val="21"/>
        </w:rPr>
        <w:t>on-board UE evaluation</w:t>
      </w:r>
      <w:r w:rsidR="00842ABD">
        <w:rPr>
          <w:b/>
          <w:szCs w:val="21"/>
        </w:rPr>
        <w:t>.</w:t>
      </w:r>
      <w:bookmarkStart w:id="2" w:name="_GoBack"/>
      <w:bookmarkEnd w:id="2"/>
    </w:p>
    <w:p w14:paraId="02E9F6E2" w14:textId="77777777" w:rsidR="00426394" w:rsidRDefault="00426394" w:rsidP="00426394">
      <w:pPr>
        <w:rPr>
          <w:b/>
          <w:szCs w:val="21"/>
        </w:rPr>
      </w:pPr>
      <w:r>
        <w:rPr>
          <w:b/>
          <w:szCs w:val="21"/>
        </w:rPr>
        <w:t xml:space="preserve">Proposal 7, the relative location </w:t>
      </w:r>
      <w:r w:rsidRPr="00854174">
        <w:rPr>
          <w:b/>
          <w:szCs w:val="21"/>
        </w:rPr>
        <w:t>between the mobile IAB node and UE</w:t>
      </w:r>
      <w:r>
        <w:rPr>
          <w:b/>
          <w:szCs w:val="21"/>
        </w:rPr>
        <w:t xml:space="preserve"> can be used to identify whether the UE is onboard UE or surrounding UE.</w:t>
      </w:r>
    </w:p>
    <w:p w14:paraId="3F080452" w14:textId="6F33E825" w:rsidR="00842ABD" w:rsidRDefault="00842ABD" w:rsidP="00842ABD">
      <w:pPr>
        <w:rPr>
          <w:b/>
          <w:szCs w:val="21"/>
        </w:rPr>
      </w:pPr>
      <w:r w:rsidRPr="00244585">
        <w:rPr>
          <w:b/>
          <w:szCs w:val="21"/>
        </w:rPr>
        <w:t>Observation</w:t>
      </w:r>
      <w:r>
        <w:rPr>
          <w:b/>
          <w:szCs w:val="21"/>
        </w:rPr>
        <w:t xml:space="preserve"> 4</w:t>
      </w:r>
      <w:r w:rsidRPr="00244585">
        <w:rPr>
          <w:b/>
          <w:szCs w:val="21"/>
        </w:rPr>
        <w:t xml:space="preserve">, </w:t>
      </w:r>
      <w:r>
        <w:rPr>
          <w:b/>
          <w:szCs w:val="21"/>
        </w:rPr>
        <w:t>SA2 concludes that dynamic TAC is considered in normative phase</w:t>
      </w:r>
      <w:r>
        <w:rPr>
          <w:b/>
          <w:szCs w:val="21"/>
        </w:rPr>
        <w:t>.</w:t>
      </w:r>
    </w:p>
    <w:p w14:paraId="319A9B27" w14:textId="77777777" w:rsidR="00842ABD" w:rsidRDefault="00842ABD" w:rsidP="00842ABD">
      <w:pPr>
        <w:rPr>
          <w:b/>
          <w:szCs w:val="21"/>
        </w:rPr>
      </w:pPr>
      <w:r>
        <w:rPr>
          <w:b/>
          <w:szCs w:val="21"/>
        </w:rPr>
        <w:t>Observation 5, whether static TAC is necessary or not is unclear in SA2’s conclusion.</w:t>
      </w:r>
    </w:p>
    <w:p w14:paraId="133EE716" w14:textId="77777777" w:rsidR="00842ABD" w:rsidRPr="00244585" w:rsidRDefault="00842ABD" w:rsidP="00842ABD">
      <w:pPr>
        <w:rPr>
          <w:b/>
          <w:szCs w:val="21"/>
        </w:rPr>
      </w:pPr>
      <w:r>
        <w:rPr>
          <w:b/>
          <w:szCs w:val="21"/>
        </w:rPr>
        <w:t xml:space="preserve">Proposal 8, RAN3 discuss whether static TAC is </w:t>
      </w:r>
      <w:r w:rsidRPr="00A757D7">
        <w:rPr>
          <w:b/>
          <w:szCs w:val="21"/>
        </w:rPr>
        <w:t>necessary</w:t>
      </w:r>
      <w:r>
        <w:rPr>
          <w:b/>
          <w:szCs w:val="21"/>
        </w:rPr>
        <w:t xml:space="preserve"> before go to the detail solution.</w:t>
      </w:r>
    </w:p>
    <w:p w14:paraId="193FD945" w14:textId="41EEED5D" w:rsidR="00CD4C7B" w:rsidRPr="006E13D1" w:rsidRDefault="00342065" w:rsidP="00CD4C7B">
      <w:pPr>
        <w:pStyle w:val="1"/>
      </w:pPr>
      <w:r>
        <w:t>4</w:t>
      </w:r>
      <w:r>
        <w:tab/>
      </w:r>
      <w:r w:rsidR="00CD4C7B" w:rsidRPr="006E13D1">
        <w:t>References</w:t>
      </w:r>
    </w:p>
    <w:p w14:paraId="7B1F56F9" w14:textId="35485CC8" w:rsidR="001265F8" w:rsidRPr="006E13D1" w:rsidRDefault="00A757D7" w:rsidP="001265F8">
      <w:pPr>
        <w:overflowPunct w:val="0"/>
        <w:autoSpaceDE w:val="0"/>
        <w:autoSpaceDN w:val="0"/>
        <w:adjustRightInd w:val="0"/>
        <w:ind w:left="567" w:hanging="567"/>
        <w:textAlignment w:val="baseline"/>
      </w:pPr>
      <w:bookmarkStart w:id="3" w:name="_Ref75086397"/>
      <w:r>
        <w:t>[1]</w:t>
      </w:r>
      <w:r w:rsidRPr="00A757D7">
        <w:t xml:space="preserve"> TR 23.700-05 V1.1.0 (2022-10)</w:t>
      </w:r>
    </w:p>
    <w:bookmarkEnd w:id="3"/>
    <w:p w14:paraId="079C0D43" w14:textId="18A70E52" w:rsidR="001D77D4" w:rsidRPr="00CD4C7B" w:rsidRDefault="001D77D4" w:rsidP="001D77D4">
      <w:pPr>
        <w:overflowPunct w:val="0"/>
        <w:autoSpaceDE w:val="0"/>
        <w:autoSpaceDN w:val="0"/>
        <w:adjustRightInd w:val="0"/>
        <w:textAlignment w:val="baseline"/>
      </w:pPr>
    </w:p>
    <w:p w14:paraId="0BA2BD6A" w14:textId="424517C4"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B94B7" w14:textId="77777777" w:rsidR="0055707E" w:rsidRDefault="0055707E">
      <w:r>
        <w:separator/>
      </w:r>
    </w:p>
  </w:endnote>
  <w:endnote w:type="continuationSeparator" w:id="0">
    <w:p w14:paraId="2BF4BC51" w14:textId="77777777" w:rsidR="0055707E" w:rsidRDefault="0055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81C9C" w14:textId="77777777" w:rsidR="0055707E" w:rsidRDefault="0055707E">
      <w:r>
        <w:separator/>
      </w:r>
    </w:p>
  </w:footnote>
  <w:footnote w:type="continuationSeparator" w:id="0">
    <w:p w14:paraId="2D4B00BF" w14:textId="77777777" w:rsidR="0055707E" w:rsidRDefault="00557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33312"/>
    <w:multiLevelType w:val="hybridMultilevel"/>
    <w:tmpl w:val="6E7CFEE6"/>
    <w:lvl w:ilvl="0" w:tplc="89424C4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124F4"/>
    <w:multiLevelType w:val="hybridMultilevel"/>
    <w:tmpl w:val="D86ADF86"/>
    <w:lvl w:ilvl="0" w:tplc="666A869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E0A6D"/>
    <w:multiLevelType w:val="hybridMultilevel"/>
    <w:tmpl w:val="E378F186"/>
    <w:lvl w:ilvl="0" w:tplc="256618F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422BE"/>
    <w:multiLevelType w:val="hybridMultilevel"/>
    <w:tmpl w:val="7C460C1E"/>
    <w:lvl w:ilvl="0" w:tplc="BFAEE64C">
      <w:numFmt w:val="bullet"/>
      <w:lvlText w:val="-"/>
      <w:lvlJc w:val="left"/>
      <w:pPr>
        <w:ind w:left="1080" w:hanging="36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101C3F"/>
    <w:multiLevelType w:val="hybridMultilevel"/>
    <w:tmpl w:val="5A48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6196CE8"/>
    <w:multiLevelType w:val="hybridMultilevel"/>
    <w:tmpl w:val="456EF9EA"/>
    <w:lvl w:ilvl="0" w:tplc="E6A4DD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5B5DBA"/>
    <w:multiLevelType w:val="hybridMultilevel"/>
    <w:tmpl w:val="F942FD48"/>
    <w:lvl w:ilvl="0" w:tplc="7B58527C">
      <w:start w:val="2022"/>
      <w:numFmt w:val="bullet"/>
      <w:lvlText w:val="-"/>
      <w:lvlJc w:val="left"/>
      <w:pPr>
        <w:ind w:left="630" w:hanging="360"/>
      </w:pPr>
      <w:rPr>
        <w:rFonts w:ascii="Times New Roman" w:eastAsia="MS Mincho"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8"/>
  </w:num>
  <w:num w:numId="6">
    <w:abstractNumId w:val="9"/>
  </w:num>
  <w:num w:numId="7">
    <w:abstractNumId w:val="15"/>
  </w:num>
  <w:num w:numId="8">
    <w:abstractNumId w:val="16"/>
  </w:num>
  <w:num w:numId="9">
    <w:abstractNumId w:val="11"/>
  </w:num>
  <w:num w:numId="10">
    <w:abstractNumId w:val="14"/>
  </w:num>
  <w:num w:numId="11">
    <w:abstractNumId w:val="6"/>
  </w:num>
  <w:num w:numId="12">
    <w:abstractNumId w:val="13"/>
  </w:num>
  <w:num w:numId="13">
    <w:abstractNumId w:val="12"/>
  </w:num>
  <w:num w:numId="14">
    <w:abstractNumId w:val="19"/>
  </w:num>
  <w:num w:numId="15">
    <w:abstractNumId w:val="3"/>
  </w:num>
  <w:num w:numId="16">
    <w:abstractNumId w:val="10"/>
  </w:num>
  <w:num w:numId="17">
    <w:abstractNumId w:val="7"/>
  </w:num>
  <w:num w:numId="18">
    <w:abstractNumId w:val="2"/>
  </w:num>
  <w:num w:numId="19">
    <w:abstractNumId w:val="4"/>
  </w:num>
  <w:num w:numId="20">
    <w:abstractNumId w:val="17"/>
  </w:num>
  <w:num w:numId="21">
    <w:abstractNumId w:val="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20B7"/>
    <w:rsid w:val="00021025"/>
    <w:rsid w:val="00033397"/>
    <w:rsid w:val="000342C7"/>
    <w:rsid w:val="0003796B"/>
    <w:rsid w:val="00040095"/>
    <w:rsid w:val="0005563E"/>
    <w:rsid w:val="00080512"/>
    <w:rsid w:val="00083F0D"/>
    <w:rsid w:val="00085143"/>
    <w:rsid w:val="000904E9"/>
    <w:rsid w:val="000B7BCF"/>
    <w:rsid w:val="000C1506"/>
    <w:rsid w:val="000C556D"/>
    <w:rsid w:val="000D376D"/>
    <w:rsid w:val="000D58AB"/>
    <w:rsid w:val="000F1DB2"/>
    <w:rsid w:val="001075B7"/>
    <w:rsid w:val="001265F8"/>
    <w:rsid w:val="0013213A"/>
    <w:rsid w:val="0013262A"/>
    <w:rsid w:val="001370F2"/>
    <w:rsid w:val="001549DD"/>
    <w:rsid w:val="00155FF2"/>
    <w:rsid w:val="00171C2B"/>
    <w:rsid w:val="0017527C"/>
    <w:rsid w:val="00190CAC"/>
    <w:rsid w:val="00194CD0"/>
    <w:rsid w:val="001B08B3"/>
    <w:rsid w:val="001B7EB4"/>
    <w:rsid w:val="001C4281"/>
    <w:rsid w:val="001D0D3F"/>
    <w:rsid w:val="001D77D4"/>
    <w:rsid w:val="001E39D1"/>
    <w:rsid w:val="001E6294"/>
    <w:rsid w:val="001F168B"/>
    <w:rsid w:val="001F70B7"/>
    <w:rsid w:val="00225F6D"/>
    <w:rsid w:val="0022606D"/>
    <w:rsid w:val="002305DD"/>
    <w:rsid w:val="00243BC7"/>
    <w:rsid w:val="00244585"/>
    <w:rsid w:val="00250D89"/>
    <w:rsid w:val="002546FB"/>
    <w:rsid w:val="002623FC"/>
    <w:rsid w:val="00274277"/>
    <w:rsid w:val="002747EC"/>
    <w:rsid w:val="002855BF"/>
    <w:rsid w:val="002868BC"/>
    <w:rsid w:val="002953B2"/>
    <w:rsid w:val="002A5A81"/>
    <w:rsid w:val="002E1692"/>
    <w:rsid w:val="002F0D22"/>
    <w:rsid w:val="002F2CE8"/>
    <w:rsid w:val="002F5942"/>
    <w:rsid w:val="003172DC"/>
    <w:rsid w:val="003238E8"/>
    <w:rsid w:val="00326069"/>
    <w:rsid w:val="0032608A"/>
    <w:rsid w:val="00342065"/>
    <w:rsid w:val="003454FC"/>
    <w:rsid w:val="00353B12"/>
    <w:rsid w:val="0035462D"/>
    <w:rsid w:val="00363177"/>
    <w:rsid w:val="003702F7"/>
    <w:rsid w:val="00370F20"/>
    <w:rsid w:val="003717A7"/>
    <w:rsid w:val="00385F81"/>
    <w:rsid w:val="00391022"/>
    <w:rsid w:val="003B3FB3"/>
    <w:rsid w:val="003B5FD6"/>
    <w:rsid w:val="003C4E37"/>
    <w:rsid w:val="003E1194"/>
    <w:rsid w:val="003E16BE"/>
    <w:rsid w:val="003E7223"/>
    <w:rsid w:val="00401855"/>
    <w:rsid w:val="00401D6C"/>
    <w:rsid w:val="00406760"/>
    <w:rsid w:val="00422ADB"/>
    <w:rsid w:val="00426394"/>
    <w:rsid w:val="00455983"/>
    <w:rsid w:val="00464695"/>
    <w:rsid w:val="004C53DC"/>
    <w:rsid w:val="004C5539"/>
    <w:rsid w:val="004D3578"/>
    <w:rsid w:val="004D380D"/>
    <w:rsid w:val="004D3F58"/>
    <w:rsid w:val="004D5E47"/>
    <w:rsid w:val="004E0173"/>
    <w:rsid w:val="004E213A"/>
    <w:rsid w:val="004E21FC"/>
    <w:rsid w:val="004E6C01"/>
    <w:rsid w:val="00503171"/>
    <w:rsid w:val="005153FE"/>
    <w:rsid w:val="005240A4"/>
    <w:rsid w:val="00531C12"/>
    <w:rsid w:val="00534DA0"/>
    <w:rsid w:val="005361A0"/>
    <w:rsid w:val="00540B31"/>
    <w:rsid w:val="00543E6C"/>
    <w:rsid w:val="00544635"/>
    <w:rsid w:val="0055707E"/>
    <w:rsid w:val="00557E1D"/>
    <w:rsid w:val="005626DD"/>
    <w:rsid w:val="00565087"/>
    <w:rsid w:val="0056573F"/>
    <w:rsid w:val="00565BE9"/>
    <w:rsid w:val="00571CE2"/>
    <w:rsid w:val="0057579F"/>
    <w:rsid w:val="00587958"/>
    <w:rsid w:val="00593EDF"/>
    <w:rsid w:val="005A4971"/>
    <w:rsid w:val="005B1232"/>
    <w:rsid w:val="005B2EEF"/>
    <w:rsid w:val="005D0F3B"/>
    <w:rsid w:val="005D4274"/>
    <w:rsid w:val="005E3C56"/>
    <w:rsid w:val="005F1BD4"/>
    <w:rsid w:val="005F6DE2"/>
    <w:rsid w:val="00605E3E"/>
    <w:rsid w:val="00606DA9"/>
    <w:rsid w:val="00611566"/>
    <w:rsid w:val="00611D47"/>
    <w:rsid w:val="006327AD"/>
    <w:rsid w:val="0065074F"/>
    <w:rsid w:val="006538D4"/>
    <w:rsid w:val="00656E1E"/>
    <w:rsid w:val="006604E4"/>
    <w:rsid w:val="0067782C"/>
    <w:rsid w:val="00697E26"/>
    <w:rsid w:val="006B36A5"/>
    <w:rsid w:val="006B3E5D"/>
    <w:rsid w:val="006C54B5"/>
    <w:rsid w:val="006D1E24"/>
    <w:rsid w:val="00702BDF"/>
    <w:rsid w:val="00727EEA"/>
    <w:rsid w:val="007304F5"/>
    <w:rsid w:val="00730BF3"/>
    <w:rsid w:val="00734A5B"/>
    <w:rsid w:val="00741EC5"/>
    <w:rsid w:val="00743525"/>
    <w:rsid w:val="00744E76"/>
    <w:rsid w:val="007476DB"/>
    <w:rsid w:val="00756B13"/>
    <w:rsid w:val="00757D40"/>
    <w:rsid w:val="00763628"/>
    <w:rsid w:val="00767CDA"/>
    <w:rsid w:val="0077054F"/>
    <w:rsid w:val="00774846"/>
    <w:rsid w:val="00776271"/>
    <w:rsid w:val="00781F0F"/>
    <w:rsid w:val="0078727C"/>
    <w:rsid w:val="00797225"/>
    <w:rsid w:val="00797D4B"/>
    <w:rsid w:val="007C095F"/>
    <w:rsid w:val="007C36EF"/>
    <w:rsid w:val="007C4EA9"/>
    <w:rsid w:val="007D321F"/>
    <w:rsid w:val="007D5902"/>
    <w:rsid w:val="007E1F12"/>
    <w:rsid w:val="007E4746"/>
    <w:rsid w:val="007F2676"/>
    <w:rsid w:val="007F3F5F"/>
    <w:rsid w:val="00802106"/>
    <w:rsid w:val="008028A4"/>
    <w:rsid w:val="00806520"/>
    <w:rsid w:val="008223CA"/>
    <w:rsid w:val="00822537"/>
    <w:rsid w:val="00830106"/>
    <w:rsid w:val="00840916"/>
    <w:rsid w:val="008415DA"/>
    <w:rsid w:val="00842ABD"/>
    <w:rsid w:val="00853EDD"/>
    <w:rsid w:val="00854174"/>
    <w:rsid w:val="008604EE"/>
    <w:rsid w:val="00865B05"/>
    <w:rsid w:val="0087401D"/>
    <w:rsid w:val="008768CA"/>
    <w:rsid w:val="00880559"/>
    <w:rsid w:val="00886DF6"/>
    <w:rsid w:val="008975A9"/>
    <w:rsid w:val="008A79DE"/>
    <w:rsid w:val="008C0CA2"/>
    <w:rsid w:val="008C2420"/>
    <w:rsid w:val="008C2835"/>
    <w:rsid w:val="008C490B"/>
    <w:rsid w:val="008D799A"/>
    <w:rsid w:val="0090271F"/>
    <w:rsid w:val="00903D8C"/>
    <w:rsid w:val="00904D26"/>
    <w:rsid w:val="00917051"/>
    <w:rsid w:val="009321BB"/>
    <w:rsid w:val="00942EC2"/>
    <w:rsid w:val="00943B23"/>
    <w:rsid w:val="00952D8F"/>
    <w:rsid w:val="00954BCB"/>
    <w:rsid w:val="00961B32"/>
    <w:rsid w:val="00971683"/>
    <w:rsid w:val="00971F47"/>
    <w:rsid w:val="00972FD7"/>
    <w:rsid w:val="00974BB0"/>
    <w:rsid w:val="009A6E4F"/>
    <w:rsid w:val="009B36EB"/>
    <w:rsid w:val="009B4F59"/>
    <w:rsid w:val="009C4046"/>
    <w:rsid w:val="009C4D5C"/>
    <w:rsid w:val="009D0A28"/>
    <w:rsid w:val="009F3B54"/>
    <w:rsid w:val="009F75AB"/>
    <w:rsid w:val="009F7E6E"/>
    <w:rsid w:val="00A10F02"/>
    <w:rsid w:val="00A2199E"/>
    <w:rsid w:val="00A3295B"/>
    <w:rsid w:val="00A4298B"/>
    <w:rsid w:val="00A53724"/>
    <w:rsid w:val="00A61FEF"/>
    <w:rsid w:val="00A64C87"/>
    <w:rsid w:val="00A757D7"/>
    <w:rsid w:val="00A80B02"/>
    <w:rsid w:val="00A82346"/>
    <w:rsid w:val="00A8361A"/>
    <w:rsid w:val="00A9231A"/>
    <w:rsid w:val="00A9671C"/>
    <w:rsid w:val="00AB6AAB"/>
    <w:rsid w:val="00AD4BCF"/>
    <w:rsid w:val="00AF4A8E"/>
    <w:rsid w:val="00AF78D5"/>
    <w:rsid w:val="00B03810"/>
    <w:rsid w:val="00B1063A"/>
    <w:rsid w:val="00B15449"/>
    <w:rsid w:val="00B41851"/>
    <w:rsid w:val="00B42422"/>
    <w:rsid w:val="00B503D9"/>
    <w:rsid w:val="00B6745D"/>
    <w:rsid w:val="00B9781E"/>
    <w:rsid w:val="00BA6755"/>
    <w:rsid w:val="00BB1499"/>
    <w:rsid w:val="00BC3B22"/>
    <w:rsid w:val="00BD5F05"/>
    <w:rsid w:val="00BF79F1"/>
    <w:rsid w:val="00C03035"/>
    <w:rsid w:val="00C275BC"/>
    <w:rsid w:val="00C33079"/>
    <w:rsid w:val="00C365F1"/>
    <w:rsid w:val="00C43B31"/>
    <w:rsid w:val="00C50536"/>
    <w:rsid w:val="00C55EB7"/>
    <w:rsid w:val="00C6148F"/>
    <w:rsid w:val="00C805B8"/>
    <w:rsid w:val="00C866E9"/>
    <w:rsid w:val="00C92571"/>
    <w:rsid w:val="00CA276C"/>
    <w:rsid w:val="00CA3D0C"/>
    <w:rsid w:val="00CB6651"/>
    <w:rsid w:val="00CB6887"/>
    <w:rsid w:val="00CC64B4"/>
    <w:rsid w:val="00CD41C2"/>
    <w:rsid w:val="00CD4C7B"/>
    <w:rsid w:val="00D22038"/>
    <w:rsid w:val="00D23014"/>
    <w:rsid w:val="00D45717"/>
    <w:rsid w:val="00D738D6"/>
    <w:rsid w:val="00D764AE"/>
    <w:rsid w:val="00D80795"/>
    <w:rsid w:val="00D80BE8"/>
    <w:rsid w:val="00D82770"/>
    <w:rsid w:val="00D87E00"/>
    <w:rsid w:val="00D908B4"/>
    <w:rsid w:val="00D90D48"/>
    <w:rsid w:val="00D9134D"/>
    <w:rsid w:val="00D97CD9"/>
    <w:rsid w:val="00DA1CA9"/>
    <w:rsid w:val="00DA5329"/>
    <w:rsid w:val="00DA7A03"/>
    <w:rsid w:val="00DB1818"/>
    <w:rsid w:val="00DC1445"/>
    <w:rsid w:val="00DC309B"/>
    <w:rsid w:val="00DC4DA2"/>
    <w:rsid w:val="00DE1406"/>
    <w:rsid w:val="00DE532C"/>
    <w:rsid w:val="00DF6BDE"/>
    <w:rsid w:val="00E0084C"/>
    <w:rsid w:val="00E07838"/>
    <w:rsid w:val="00E305A4"/>
    <w:rsid w:val="00E340BC"/>
    <w:rsid w:val="00E51135"/>
    <w:rsid w:val="00E51F8B"/>
    <w:rsid w:val="00E6028F"/>
    <w:rsid w:val="00E62835"/>
    <w:rsid w:val="00E77645"/>
    <w:rsid w:val="00E852FF"/>
    <w:rsid w:val="00E90ABE"/>
    <w:rsid w:val="00EA1D56"/>
    <w:rsid w:val="00EA22F8"/>
    <w:rsid w:val="00EB4857"/>
    <w:rsid w:val="00EC4A25"/>
    <w:rsid w:val="00ED0D91"/>
    <w:rsid w:val="00ED1751"/>
    <w:rsid w:val="00ED7F72"/>
    <w:rsid w:val="00EE022B"/>
    <w:rsid w:val="00EE0A1E"/>
    <w:rsid w:val="00EF2DFA"/>
    <w:rsid w:val="00F025A2"/>
    <w:rsid w:val="00F2026E"/>
    <w:rsid w:val="00F2210A"/>
    <w:rsid w:val="00F37743"/>
    <w:rsid w:val="00F54114"/>
    <w:rsid w:val="00F54A3D"/>
    <w:rsid w:val="00F61F76"/>
    <w:rsid w:val="00F653B8"/>
    <w:rsid w:val="00F6620F"/>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character" w:customStyle="1" w:styleId="CRCoverPageZchn">
    <w:name w:val="CR Cover Page Zchn"/>
    <w:link w:val="CRCoverPage"/>
    <w:rsid w:val="00422ADB"/>
    <w:rPr>
      <w:rFonts w:ascii="Arial" w:eastAsia="MS Mincho" w:hAnsi="Arial"/>
      <w:lang w:val="en-GB" w:eastAsia="en-US"/>
    </w:rPr>
  </w:style>
  <w:style w:type="character" w:customStyle="1" w:styleId="Doc-text2Char">
    <w:name w:val="Doc-text2 Char"/>
    <w:link w:val="Doc-text2"/>
    <w:qFormat/>
    <w:locked/>
    <w:rsid w:val="007D321F"/>
    <w:rPr>
      <w:rFonts w:ascii="Arial" w:eastAsia="MS Mincho" w:hAnsi="Arial" w:cs="Arial"/>
      <w:szCs w:val="24"/>
      <w:lang w:val="en-GB" w:eastAsia="en-GB"/>
    </w:rPr>
  </w:style>
  <w:style w:type="paragraph" w:customStyle="1" w:styleId="Doc-text2">
    <w:name w:val="Doc-text2"/>
    <w:basedOn w:val="a"/>
    <w:link w:val="Doc-text2Char"/>
    <w:qFormat/>
    <w:rsid w:val="007D321F"/>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7D321F"/>
    <w:pPr>
      <w:numPr>
        <w:numId w:val="20"/>
      </w:numPr>
      <w:spacing w:before="60" w:after="0"/>
    </w:pPr>
    <w:rPr>
      <w:rFonts w:ascii="Arial" w:eastAsia="MS Mincho" w:hAnsi="Arial"/>
      <w:b/>
      <w:szCs w:val="24"/>
      <w:lang w:eastAsia="en-GB"/>
    </w:rPr>
  </w:style>
  <w:style w:type="character" w:customStyle="1" w:styleId="EditorsNoteChar">
    <w:name w:val="Editor's Note Char"/>
    <w:aliases w:val="EN Char"/>
    <w:link w:val="EditorsNote"/>
    <w:locked/>
    <w:rsid w:val="00A757D7"/>
    <w:rPr>
      <w:color w:val="FF0000"/>
      <w:lang w:val="en-GB" w:eastAsia="en-US"/>
    </w:rPr>
  </w:style>
  <w:style w:type="character" w:customStyle="1" w:styleId="B1Char1">
    <w:name w:val="B1 Char1"/>
    <w:rsid w:val="00A757D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6919">
      <w:bodyDiv w:val="1"/>
      <w:marLeft w:val="0"/>
      <w:marRight w:val="0"/>
      <w:marTop w:val="0"/>
      <w:marBottom w:val="0"/>
      <w:divBdr>
        <w:top w:val="none" w:sz="0" w:space="0" w:color="auto"/>
        <w:left w:val="none" w:sz="0" w:space="0" w:color="auto"/>
        <w:bottom w:val="none" w:sz="0" w:space="0" w:color="auto"/>
        <w:right w:val="none" w:sz="0" w:space="0" w:color="auto"/>
      </w:divBdr>
    </w:div>
    <w:div w:id="413673815">
      <w:bodyDiv w:val="1"/>
      <w:marLeft w:val="0"/>
      <w:marRight w:val="0"/>
      <w:marTop w:val="0"/>
      <w:marBottom w:val="0"/>
      <w:divBdr>
        <w:top w:val="none" w:sz="0" w:space="0" w:color="auto"/>
        <w:left w:val="none" w:sz="0" w:space="0" w:color="auto"/>
        <w:bottom w:val="none" w:sz="0" w:space="0" w:color="auto"/>
        <w:right w:val="none" w:sz="0" w:space="0" w:color="auto"/>
      </w:divBdr>
    </w:div>
    <w:div w:id="773326647">
      <w:bodyDiv w:val="1"/>
      <w:marLeft w:val="0"/>
      <w:marRight w:val="0"/>
      <w:marTop w:val="0"/>
      <w:marBottom w:val="0"/>
      <w:divBdr>
        <w:top w:val="none" w:sz="0" w:space="0" w:color="auto"/>
        <w:left w:val="none" w:sz="0" w:space="0" w:color="auto"/>
        <w:bottom w:val="none" w:sz="0" w:space="0" w:color="auto"/>
        <w:right w:val="none" w:sz="0" w:space="0" w:color="auto"/>
      </w:divBdr>
    </w:div>
    <w:div w:id="902181168">
      <w:bodyDiv w:val="1"/>
      <w:marLeft w:val="0"/>
      <w:marRight w:val="0"/>
      <w:marTop w:val="0"/>
      <w:marBottom w:val="0"/>
      <w:divBdr>
        <w:top w:val="none" w:sz="0" w:space="0" w:color="auto"/>
        <w:left w:val="none" w:sz="0" w:space="0" w:color="auto"/>
        <w:bottom w:val="none" w:sz="0" w:space="0" w:color="auto"/>
        <w:right w:val="none" w:sz="0" w:space="0" w:color="auto"/>
      </w:divBdr>
    </w:div>
    <w:div w:id="946891812">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697074934">
      <w:bodyDiv w:val="1"/>
      <w:marLeft w:val="0"/>
      <w:marRight w:val="0"/>
      <w:marTop w:val="0"/>
      <w:marBottom w:val="0"/>
      <w:divBdr>
        <w:top w:val="none" w:sz="0" w:space="0" w:color="auto"/>
        <w:left w:val="none" w:sz="0" w:space="0" w:color="auto"/>
        <w:bottom w:val="none" w:sz="0" w:space="0" w:color="auto"/>
        <w:right w:val="none" w:sz="0" w:space="0" w:color="auto"/>
      </w:divBdr>
    </w:div>
    <w:div w:id="2018338451">
      <w:bodyDiv w:val="1"/>
      <w:marLeft w:val="0"/>
      <w:marRight w:val="0"/>
      <w:marTop w:val="0"/>
      <w:marBottom w:val="0"/>
      <w:divBdr>
        <w:top w:val="none" w:sz="0" w:space="0" w:color="auto"/>
        <w:left w:val="none" w:sz="0" w:space="0" w:color="auto"/>
        <w:bottom w:val="none" w:sz="0" w:space="0" w:color="auto"/>
        <w:right w:val="none" w:sz="0" w:space="0" w:color="auto"/>
      </w:divBdr>
    </w:div>
    <w:div w:id="210549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4C6E5-A813-48F2-BAF3-53EB5A4ED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1417</Words>
  <Characters>8079</Characters>
  <Application>Microsoft Office Word</Application>
  <DocSecurity>0</DocSecurity>
  <Lines>67</Lines>
  <Paragraphs>18</Paragraphs>
  <ScaleCrop>false</ScaleCrop>
  <Company/>
  <LinksUpToDate>false</LinksUpToDate>
  <CharactersWithSpaces>9478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2022-11-04T06:33:00Z</dcterms:created>
  <dcterms:modified xsi:type="dcterms:W3CDTF">2022-11-04T06:33:00Z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